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BC39D" w14:textId="7E94BA8E" w:rsidR="00CE7F9A" w:rsidRPr="008E78D1" w:rsidRDefault="00CE7F9A" w:rsidP="00CE7F9A">
      <w:pPr>
        <w:pStyle w:val="Heading1"/>
      </w:pPr>
      <w:bookmarkStart w:id="0" w:name="_GoBack"/>
      <w:bookmarkEnd w:id="0"/>
      <w:r w:rsidRPr="008E78D1">
        <w:t xml:space="preserve">Preliminary </w:t>
      </w:r>
      <w:r w:rsidR="00782316">
        <w:t>Assessment</w:t>
      </w:r>
      <w:r w:rsidRPr="008E78D1">
        <w:t xml:space="preserve"> Questionnaire: Prospective </w:t>
      </w:r>
      <w:r>
        <w:t xml:space="preserve">Exchange Traded Product </w:t>
      </w:r>
      <w:r w:rsidRPr="008E78D1">
        <w:t xml:space="preserve">Issuer </w:t>
      </w:r>
    </w:p>
    <w:p w14:paraId="37BC59F8" w14:textId="10BDF43E" w:rsidR="00CE7F9A" w:rsidRPr="008E78D1" w:rsidRDefault="00CE7F9A" w:rsidP="00CE7F9A">
      <w:pPr>
        <w:pStyle w:val="TableText"/>
      </w:pPr>
      <w:r w:rsidRPr="008E78D1">
        <w:t xml:space="preserve">The purpose of the following </w:t>
      </w:r>
      <w:r>
        <w:t xml:space="preserve">questionnaire </w:t>
      </w:r>
      <w:r w:rsidRPr="008E78D1">
        <w:t xml:space="preserve">is to assist ASX in providing early guidance to </w:t>
      </w:r>
      <w:r>
        <w:t xml:space="preserve">prospective </w:t>
      </w:r>
      <w:r w:rsidRPr="008E78D1">
        <w:t>issuers on whether a fund can be converted from the mFund Settlement Service and admitted as an Exchange Traded Product (ETP) under</w:t>
      </w:r>
      <w:r>
        <w:t xml:space="preserve"> the</w:t>
      </w:r>
      <w:r w:rsidRPr="008E78D1">
        <w:t xml:space="preserve"> ASX AQUA</w:t>
      </w:r>
      <w:r w:rsidR="00556879">
        <w:t xml:space="preserve"> Product</w:t>
      </w:r>
      <w:r w:rsidRPr="008E78D1">
        <w:t xml:space="preserve"> Rules. </w:t>
      </w:r>
    </w:p>
    <w:p w14:paraId="4FD44334" w14:textId="77777777" w:rsidR="00CE7F9A" w:rsidRPr="008E78D1" w:rsidRDefault="00CE7F9A" w:rsidP="00CE7F9A">
      <w:pPr>
        <w:pStyle w:val="TableText"/>
      </w:pPr>
      <w:r w:rsidRPr="008E78D1">
        <w:t xml:space="preserve">Any guidance </w:t>
      </w:r>
      <w:r>
        <w:t xml:space="preserve">provided by ASX </w:t>
      </w:r>
      <w:r w:rsidRPr="008E78D1">
        <w:t xml:space="preserve">in response to </w:t>
      </w:r>
      <w:r>
        <w:t xml:space="preserve">the </w:t>
      </w:r>
      <w:r w:rsidRPr="008E78D1">
        <w:t xml:space="preserve">information provided in this document is </w:t>
      </w:r>
      <w:r w:rsidRPr="008E78D1">
        <w:rPr>
          <w:b/>
          <w:u w:val="single"/>
        </w:rPr>
        <w:t>indicative only</w:t>
      </w:r>
      <w:r w:rsidRPr="008E78D1">
        <w:t>. The final decision on a</w:t>
      </w:r>
      <w:r>
        <w:t xml:space="preserve">n </w:t>
      </w:r>
      <w:r w:rsidRPr="008E78D1">
        <w:t>ETP</w:t>
      </w:r>
      <w:r>
        <w:t xml:space="preserve"> admission</w:t>
      </w:r>
      <w:r w:rsidRPr="008E78D1">
        <w:t xml:space="preserve"> can only be made once the applicant has submitted all required forms and checklists referred to on the ASX </w:t>
      </w:r>
      <w:hyperlink r:id="rId8" w:history="1">
        <w:r w:rsidRPr="009E3D0F">
          <w:rPr>
            <w:rStyle w:val="Hyperlink"/>
            <w:color w:val="00B0F0"/>
          </w:rPr>
          <w:t>website</w:t>
        </w:r>
      </w:hyperlink>
      <w:r>
        <w:t xml:space="preserve"> as part of a formal application</w:t>
      </w:r>
      <w:r w:rsidRPr="008E78D1">
        <w:t xml:space="preserve">. </w:t>
      </w:r>
    </w:p>
    <w:p w14:paraId="1D230001" w14:textId="37A519D0" w:rsidR="00CE7F9A" w:rsidRDefault="00CE7F9A" w:rsidP="00CE7F9A">
      <w:pPr>
        <w:pStyle w:val="TableText"/>
      </w:pPr>
      <w:r w:rsidRPr="008E78D1">
        <w:t>The information provided</w:t>
      </w:r>
      <w:r>
        <w:t xml:space="preserve"> by applicants</w:t>
      </w:r>
      <w:r w:rsidRPr="008E78D1">
        <w:t xml:space="preserve"> in response to the questions in this document </w:t>
      </w:r>
      <w:r>
        <w:t>will not be relied o</w:t>
      </w:r>
      <w:r w:rsidRPr="008E78D1">
        <w:t>n</w:t>
      </w:r>
      <w:r>
        <w:t xml:space="preserve"> or referred to</w:t>
      </w:r>
      <w:r w:rsidRPr="008E78D1">
        <w:t xml:space="preserve"> if the applicant decides to make a formal application with ASX.</w:t>
      </w:r>
    </w:p>
    <w:p w14:paraId="53DC0366" w14:textId="37EA8495" w:rsidR="00CE7F9A" w:rsidRDefault="00CE7F9A" w:rsidP="00CE7F9A">
      <w:pPr>
        <w:pStyle w:val="TableText"/>
        <w:rPr>
          <w:szCs w:val="22"/>
        </w:rPr>
      </w:pPr>
      <w:r>
        <w:t xml:space="preserve">Further information about the requirements to be an ETP issuer can be found on the ASX </w:t>
      </w:r>
      <w:hyperlink r:id="rId9" w:history="1">
        <w:r w:rsidRPr="009E3D0F">
          <w:rPr>
            <w:rStyle w:val="Hyperlink"/>
            <w:color w:val="00B0F0"/>
          </w:rPr>
          <w:t>website</w:t>
        </w:r>
      </w:hyperlink>
      <w:r>
        <w:rPr>
          <w:rStyle w:val="FootnoteReference"/>
        </w:rPr>
        <w:footnoteReference w:id="1"/>
      </w:r>
      <w:r>
        <w:t>.</w:t>
      </w:r>
    </w:p>
    <w:p w14:paraId="1EFDA01A" w14:textId="2B01C1B6" w:rsidR="008756CC" w:rsidRDefault="00C15DE2" w:rsidP="000672C4">
      <w:pPr>
        <w:pStyle w:val="TableText"/>
      </w:pPr>
      <w:r>
        <w:t xml:space="preserve">Please return </w:t>
      </w:r>
      <w:r w:rsidR="009D214B">
        <w:t xml:space="preserve">the </w:t>
      </w:r>
      <w:r>
        <w:t>completed questionnaire to:</w:t>
      </w:r>
    </w:p>
    <w:p w14:paraId="35C07277" w14:textId="5B9EFC5F" w:rsidR="00C15DE2" w:rsidRDefault="00C15DE2" w:rsidP="00C15DE2">
      <w:pPr>
        <w:pStyle w:val="TableText"/>
        <w:numPr>
          <w:ilvl w:val="0"/>
          <w:numId w:val="44"/>
        </w:numPr>
      </w:pPr>
      <w:r>
        <w:t>Attention: Rory Cunningham</w:t>
      </w:r>
    </w:p>
    <w:p w14:paraId="7AA445C8" w14:textId="2F7DEAF6" w:rsidR="00C15DE2" w:rsidRDefault="00C15DE2" w:rsidP="00C15DE2">
      <w:pPr>
        <w:pStyle w:val="TableText"/>
        <w:numPr>
          <w:ilvl w:val="0"/>
          <w:numId w:val="44"/>
        </w:numPr>
      </w:pPr>
      <w:r>
        <w:t xml:space="preserve">Email: </w:t>
      </w:r>
      <w:hyperlink r:id="rId10" w:history="1">
        <w:r w:rsidRPr="00AE60C7">
          <w:rPr>
            <w:rStyle w:val="Hyperlink"/>
          </w:rPr>
          <w:t>mFund@asx.com.au</w:t>
        </w:r>
      </w:hyperlink>
    </w:p>
    <w:tbl>
      <w:tblPr>
        <w:tblW w:w="0" w:type="auto"/>
        <w:tblLayout w:type="fixed"/>
        <w:tblCellMar>
          <w:left w:w="0" w:type="dxa"/>
          <w:right w:w="0" w:type="dxa"/>
        </w:tblCellMar>
        <w:tblLook w:val="04A0" w:firstRow="1" w:lastRow="0" w:firstColumn="1" w:lastColumn="0" w:noHBand="0" w:noVBand="1"/>
      </w:tblPr>
      <w:tblGrid>
        <w:gridCol w:w="557"/>
        <w:gridCol w:w="4536"/>
        <w:gridCol w:w="4525"/>
      </w:tblGrid>
      <w:tr w:rsidR="008756CC" w14:paraId="09162936" w14:textId="77777777" w:rsidTr="006367B1">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9AF0CF" w14:textId="337FD6D2" w:rsidR="008756CC" w:rsidRDefault="008756CC" w:rsidP="006367B1">
            <w:pPr>
              <w:rPr>
                <w:b/>
                <w:bCs/>
              </w:rPr>
            </w:pP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6AE146" w14:textId="77777777" w:rsidR="008756CC" w:rsidRDefault="008756CC">
            <w:pPr>
              <w:rPr>
                <w:b/>
                <w:bCs/>
              </w:rPr>
            </w:pPr>
            <w:r>
              <w:rPr>
                <w:b/>
                <w:bCs/>
              </w:rPr>
              <w:t>Question</w:t>
            </w:r>
          </w:p>
        </w:tc>
        <w:tc>
          <w:tcPr>
            <w:tcW w:w="45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CE2961" w14:textId="77777777" w:rsidR="008756CC" w:rsidRDefault="008756CC">
            <w:pPr>
              <w:rPr>
                <w:b/>
                <w:bCs/>
              </w:rPr>
            </w:pPr>
            <w:r>
              <w:rPr>
                <w:b/>
                <w:bCs/>
              </w:rPr>
              <w:t>Response</w:t>
            </w:r>
          </w:p>
        </w:tc>
      </w:tr>
      <w:tr w:rsidR="008756CC" w14:paraId="1D237DA0" w14:textId="77777777" w:rsidTr="006367B1">
        <w:tc>
          <w:tcPr>
            <w:tcW w:w="9618" w:type="dxa"/>
            <w:gridSpan w:val="3"/>
            <w:tcBorders>
              <w:top w:val="nil"/>
              <w:left w:val="single" w:sz="8" w:space="0" w:color="auto"/>
              <w:bottom w:val="single" w:sz="8" w:space="0" w:color="auto"/>
              <w:right w:val="single" w:sz="8" w:space="0" w:color="auto"/>
            </w:tcBorders>
            <w:shd w:val="clear" w:color="auto" w:fill="00B0F0"/>
            <w:tcMar>
              <w:top w:w="0" w:type="dxa"/>
              <w:left w:w="108" w:type="dxa"/>
              <w:bottom w:w="0" w:type="dxa"/>
              <w:right w:w="108" w:type="dxa"/>
            </w:tcMar>
            <w:hideMark/>
          </w:tcPr>
          <w:p w14:paraId="3237AE39" w14:textId="77777777" w:rsidR="008756CC" w:rsidRDefault="008756CC">
            <w:pPr>
              <w:rPr>
                <w:b/>
                <w:bCs/>
              </w:rPr>
            </w:pPr>
            <w:r>
              <w:rPr>
                <w:b/>
                <w:bCs/>
                <w:color w:val="FFFFFF"/>
              </w:rPr>
              <w:t>Section 1 - AQUA Product Issuer</w:t>
            </w:r>
          </w:p>
        </w:tc>
      </w:tr>
      <w:tr w:rsidR="009E3D0F" w14:paraId="26E805F6" w14:textId="77777777" w:rsidTr="006367B1">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493C64" w14:textId="7D61FE2A" w:rsidR="009E3D0F" w:rsidRDefault="009E3D0F" w:rsidP="00920A0A">
            <w:r>
              <w:t>1.1.</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14:paraId="0D9EB940" w14:textId="52CB699D" w:rsidR="009E3D0F" w:rsidRDefault="009E3D0F" w:rsidP="009E3D0F">
            <w:r>
              <w:t>What is the company name of the applicant?</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1D357577" w14:textId="6A715097" w:rsidR="009E3D0F" w:rsidRPr="009E3D0F" w:rsidRDefault="009E3D0F" w:rsidP="009E3D0F">
            <w:pPr>
              <w:rPr>
                <w:color w:val="38B24A" w:themeColor="accent6"/>
              </w:rPr>
            </w:pPr>
            <w:r>
              <w:rPr>
                <w:color w:val="00B050"/>
              </w:rPr>
              <w:t>insert company name of applicant</w:t>
            </w:r>
          </w:p>
        </w:tc>
      </w:tr>
      <w:tr w:rsidR="009E3D0F" w14:paraId="07A3318F" w14:textId="77777777" w:rsidTr="006367B1">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D7BEE8" w14:textId="6618750A" w:rsidR="009E3D0F" w:rsidRDefault="009E3D0F" w:rsidP="00920A0A">
            <w:r>
              <w:t>1.2.</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14:paraId="27C383AE" w14:textId="40901AEB" w:rsidR="009E3D0F" w:rsidRDefault="009E3D0F" w:rsidP="00920A0A">
            <w:r>
              <w:t>Who is the primary contact</w:t>
            </w:r>
            <w:r w:rsidR="0031185E">
              <w:t xml:space="preserve"> for this application</w:t>
            </w:r>
            <w:r>
              <w:t>?</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6F773527" w14:textId="7E8E5313" w:rsidR="009E3D0F" w:rsidRDefault="009E3D0F" w:rsidP="009E3D0F">
            <w:pPr>
              <w:pStyle w:val="ListParagraph"/>
              <w:numPr>
                <w:ilvl w:val="0"/>
                <w:numId w:val="43"/>
              </w:numPr>
              <w:rPr>
                <w:color w:val="38B24A" w:themeColor="accent6"/>
              </w:rPr>
            </w:pPr>
            <w:r w:rsidRPr="009E3D0F">
              <w:t>[</w:t>
            </w:r>
            <w:r>
              <w:rPr>
                <w:color w:val="38B24A" w:themeColor="accent6"/>
              </w:rPr>
              <w:t>Insert name</w:t>
            </w:r>
            <w:r w:rsidRPr="009E3D0F">
              <w:t>]</w:t>
            </w:r>
            <w:r w:rsidRPr="009E3D0F">
              <w:rPr>
                <w:color w:val="38B24A" w:themeColor="accent6"/>
              </w:rPr>
              <w:t xml:space="preserve"> </w:t>
            </w:r>
          </w:p>
          <w:p w14:paraId="5DB3C468" w14:textId="72C5784D" w:rsidR="009E3D0F" w:rsidRDefault="009E3D0F" w:rsidP="009E3D0F">
            <w:pPr>
              <w:pStyle w:val="ListParagraph"/>
              <w:numPr>
                <w:ilvl w:val="0"/>
                <w:numId w:val="43"/>
              </w:numPr>
              <w:rPr>
                <w:color w:val="38B24A" w:themeColor="accent6"/>
              </w:rPr>
            </w:pPr>
            <w:r w:rsidRPr="009E3D0F">
              <w:t>[</w:t>
            </w:r>
            <w:r>
              <w:rPr>
                <w:color w:val="38B24A" w:themeColor="accent6"/>
              </w:rPr>
              <w:t>Insert email address</w:t>
            </w:r>
            <w:r w:rsidRPr="009E3D0F">
              <w:t>]</w:t>
            </w:r>
          </w:p>
          <w:p w14:paraId="129F62EF" w14:textId="5A416DF8" w:rsidR="009E3D0F" w:rsidRPr="009E3D0F" w:rsidRDefault="009E3D0F" w:rsidP="009E3D0F">
            <w:pPr>
              <w:pStyle w:val="ListParagraph"/>
              <w:numPr>
                <w:ilvl w:val="0"/>
                <w:numId w:val="43"/>
              </w:numPr>
              <w:rPr>
                <w:color w:val="38B24A" w:themeColor="accent6"/>
              </w:rPr>
            </w:pPr>
            <w:r w:rsidRPr="009E3D0F">
              <w:t>[</w:t>
            </w:r>
            <w:r>
              <w:rPr>
                <w:color w:val="38B24A" w:themeColor="accent6"/>
              </w:rPr>
              <w:t>Insert position / title</w:t>
            </w:r>
            <w:r w:rsidRPr="009E3D0F">
              <w:t>]</w:t>
            </w:r>
          </w:p>
        </w:tc>
      </w:tr>
      <w:tr w:rsidR="00920A0A" w14:paraId="66F81ECE" w14:textId="77777777" w:rsidTr="006367B1">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BAD6A9" w14:textId="4874E645" w:rsidR="00920A0A" w:rsidRDefault="009E3D0F" w:rsidP="00920A0A">
            <w:r>
              <w:t>1.3</w:t>
            </w:r>
            <w:r w:rsidR="00920A0A">
              <w:t>.</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14:paraId="21C9DF06" w14:textId="65CFCD10" w:rsidR="00920A0A" w:rsidRDefault="00920A0A" w:rsidP="00920A0A">
            <w:r>
              <w:t>Please provide the details of the fund(s) you are considering converting to an ETP.</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6FFABF8B" w14:textId="66D06C8E" w:rsidR="00920A0A" w:rsidRPr="00166722" w:rsidRDefault="009E3D0F" w:rsidP="00920A0A">
            <w:pPr>
              <w:pStyle w:val="ListParagraph"/>
              <w:numPr>
                <w:ilvl w:val="0"/>
                <w:numId w:val="42"/>
              </w:numPr>
            </w:pPr>
            <w:r w:rsidRPr="009E3D0F">
              <w:t>[</w:t>
            </w:r>
            <w:r w:rsidR="00920A0A">
              <w:rPr>
                <w:color w:val="38B24A" w:themeColor="accent6"/>
              </w:rPr>
              <w:t>Insert fund name and mFund code</w:t>
            </w:r>
            <w:r w:rsidRPr="009E3D0F">
              <w:t>]</w:t>
            </w:r>
          </w:p>
          <w:p w14:paraId="01932472" w14:textId="36F4B74F" w:rsidR="00920A0A" w:rsidRPr="00166722" w:rsidRDefault="009E3D0F" w:rsidP="00920A0A">
            <w:pPr>
              <w:pStyle w:val="ListParagraph"/>
              <w:numPr>
                <w:ilvl w:val="0"/>
                <w:numId w:val="42"/>
              </w:numPr>
            </w:pPr>
            <w:r w:rsidRPr="009E3D0F">
              <w:t>[</w:t>
            </w:r>
            <w:r w:rsidR="00920A0A">
              <w:rPr>
                <w:color w:val="38B24A" w:themeColor="accent6"/>
              </w:rPr>
              <w:t>Insert fund name and mFund code</w:t>
            </w:r>
            <w:r w:rsidRPr="009E3D0F">
              <w:t>]</w:t>
            </w:r>
          </w:p>
          <w:p w14:paraId="587DA38C" w14:textId="78F0ADDC" w:rsidR="00920A0A" w:rsidRPr="00920A0A" w:rsidRDefault="009E3D0F" w:rsidP="009E3D0F">
            <w:pPr>
              <w:pStyle w:val="ListParagraph"/>
              <w:numPr>
                <w:ilvl w:val="0"/>
                <w:numId w:val="42"/>
              </w:numPr>
              <w:rPr>
                <w:sz w:val="20"/>
                <w:szCs w:val="20"/>
              </w:rPr>
            </w:pPr>
            <w:r w:rsidRPr="009E3D0F">
              <w:t>[</w:t>
            </w:r>
            <w:r w:rsidR="00920A0A" w:rsidRPr="009E3D0F">
              <w:rPr>
                <w:color w:val="38B24A" w:themeColor="accent6"/>
              </w:rPr>
              <w:t>Insert fund name and mFund code</w:t>
            </w:r>
            <w:r w:rsidRPr="009E3D0F">
              <w:t>]</w:t>
            </w:r>
          </w:p>
        </w:tc>
      </w:tr>
      <w:tr w:rsidR="00920A0A" w14:paraId="580E609E" w14:textId="77777777" w:rsidTr="006367B1">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973073" w14:textId="5F9E85C9" w:rsidR="00920A0A" w:rsidRDefault="00920A0A">
            <w:r>
              <w:t>1.</w:t>
            </w:r>
            <w:r w:rsidR="009E3D0F">
              <w:t>4</w:t>
            </w:r>
            <w:r>
              <w:t>.</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442A9700" w14:textId="77777777" w:rsidR="00920A0A" w:rsidRDefault="00920A0A" w:rsidP="00920A0A">
            <w:r>
              <w:t>Has the applicant previously issued Exchange Traded Products (ETPs)?</w:t>
            </w:r>
          </w:p>
        </w:tc>
        <w:tc>
          <w:tcPr>
            <w:tcW w:w="4525" w:type="dxa"/>
            <w:tcBorders>
              <w:top w:val="nil"/>
              <w:left w:val="nil"/>
              <w:bottom w:val="single" w:sz="8" w:space="0" w:color="auto"/>
              <w:right w:val="single" w:sz="8" w:space="0" w:color="auto"/>
            </w:tcBorders>
            <w:tcMar>
              <w:top w:w="0" w:type="dxa"/>
              <w:left w:w="108" w:type="dxa"/>
              <w:bottom w:w="0" w:type="dxa"/>
              <w:right w:w="108" w:type="dxa"/>
            </w:tcMar>
            <w:hideMark/>
          </w:tcPr>
          <w:p w14:paraId="30EFB225" w14:textId="77777777" w:rsidR="00920A0A" w:rsidRDefault="007E47F6" w:rsidP="00920A0A">
            <w:pPr>
              <w:rPr>
                <w:sz w:val="20"/>
                <w:szCs w:val="20"/>
              </w:rPr>
            </w:pPr>
            <w:sdt>
              <w:sdtPr>
                <w:rPr>
                  <w:sz w:val="20"/>
                  <w:szCs w:val="20"/>
                </w:rPr>
                <w:id w:val="-132873376"/>
                <w14:checkbox>
                  <w14:checked w14:val="0"/>
                  <w14:checkedState w14:val="2612" w14:font="MS Gothic"/>
                  <w14:uncheckedState w14:val="2610" w14:font="MS Gothic"/>
                </w14:checkbox>
              </w:sdtPr>
              <w:sdtEndPr/>
              <w:sdtContent>
                <w:r w:rsidR="00920A0A">
                  <w:rPr>
                    <w:rFonts w:ascii="MS Gothic" w:eastAsia="MS Gothic" w:hAnsi="MS Gothic" w:hint="eastAsia"/>
                    <w:sz w:val="20"/>
                    <w:szCs w:val="20"/>
                    <w:lang w:val="en-US"/>
                  </w:rPr>
                  <w:t>☐</w:t>
                </w:r>
              </w:sdtContent>
            </w:sdt>
            <w:r w:rsidR="00920A0A">
              <w:rPr>
                <w:sz w:val="20"/>
                <w:szCs w:val="20"/>
              </w:rPr>
              <w:t xml:space="preserve"> Yes </w:t>
            </w:r>
            <w:r w:rsidR="00920A0A">
              <w:t>[</w:t>
            </w:r>
            <w:r w:rsidR="00920A0A">
              <w:rPr>
                <w:color w:val="00B050"/>
              </w:rPr>
              <w:t>insert name of registry</w:t>
            </w:r>
            <w:r w:rsidR="00920A0A">
              <w:t>]</w:t>
            </w:r>
          </w:p>
          <w:p w14:paraId="24FE9AE5" w14:textId="72071151" w:rsidR="00920A0A" w:rsidRDefault="007E47F6" w:rsidP="00920A0A">
            <w:pPr>
              <w:rPr>
                <w:sz w:val="20"/>
                <w:szCs w:val="20"/>
              </w:rPr>
            </w:pPr>
            <w:sdt>
              <w:sdtPr>
                <w:rPr>
                  <w:sz w:val="20"/>
                  <w:szCs w:val="20"/>
                </w:rPr>
                <w:id w:val="1574779934"/>
                <w14:checkbox>
                  <w14:checked w14:val="0"/>
                  <w14:checkedState w14:val="2612" w14:font="MS Gothic"/>
                  <w14:uncheckedState w14:val="2610" w14:font="MS Gothic"/>
                </w14:checkbox>
              </w:sdtPr>
              <w:sdtEndPr/>
              <w:sdtContent>
                <w:r w:rsidR="00920A0A">
                  <w:rPr>
                    <w:rFonts w:ascii="Segoe UI Symbol" w:hAnsi="Segoe UI Symbol"/>
                    <w:sz w:val="20"/>
                    <w:szCs w:val="20"/>
                  </w:rPr>
                  <w:t>☐</w:t>
                </w:r>
              </w:sdtContent>
            </w:sdt>
            <w:r w:rsidR="00920A0A">
              <w:rPr>
                <w:sz w:val="20"/>
                <w:szCs w:val="20"/>
              </w:rPr>
              <w:t xml:space="preserve"> No, please answer Question 1.</w:t>
            </w:r>
            <w:r w:rsidR="009E3D0F">
              <w:rPr>
                <w:sz w:val="20"/>
                <w:szCs w:val="20"/>
              </w:rPr>
              <w:t>5</w:t>
            </w:r>
            <w:r w:rsidR="00920A0A">
              <w:rPr>
                <w:sz w:val="20"/>
                <w:szCs w:val="20"/>
              </w:rPr>
              <w:t>.</w:t>
            </w:r>
          </w:p>
          <w:p w14:paraId="5FD34B23" w14:textId="77777777" w:rsidR="00920A0A" w:rsidRDefault="00920A0A" w:rsidP="00920A0A">
            <w:pPr>
              <w:rPr>
                <w:sz w:val="20"/>
                <w:szCs w:val="20"/>
              </w:rPr>
            </w:pPr>
          </w:p>
          <w:p w14:paraId="7691F26E" w14:textId="783FFC89" w:rsidR="00920A0A" w:rsidRPr="009E3D0F" w:rsidRDefault="00920A0A" w:rsidP="00920A0A">
            <w:r w:rsidRPr="009E3D0F">
              <w:t xml:space="preserve">If the answer is ‘No’, upon formal application ASX </w:t>
            </w:r>
            <w:r>
              <w:t xml:space="preserve">is required to assess </w:t>
            </w:r>
            <w:r w:rsidRPr="009E3D0F">
              <w:t xml:space="preserve">if the applicant has </w:t>
            </w:r>
            <w:r w:rsidRPr="00CF558F">
              <w:t>adequate facilities, systems, processes, procedures, personnel, expertise, and financial resources to fulfil their obligations as an ETP Issuer</w:t>
            </w:r>
            <w:r>
              <w:t>.</w:t>
            </w:r>
          </w:p>
        </w:tc>
      </w:tr>
      <w:tr w:rsidR="00920A0A" w14:paraId="20C6C89E" w14:textId="77777777" w:rsidTr="006367B1">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B9991" w14:textId="0D11709F" w:rsidR="00920A0A" w:rsidRDefault="00920A0A">
            <w:r>
              <w:t>1.</w:t>
            </w:r>
            <w:r w:rsidR="009E3D0F">
              <w:t>5</w:t>
            </w:r>
            <w:r>
              <w:t xml:space="preserve">. </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14:paraId="56B45520" w14:textId="6EDDF1EF" w:rsidR="00920A0A" w:rsidRDefault="00920A0A" w:rsidP="00920A0A">
            <w:r>
              <w:t>Can the applicant provide an indicative list of the names of third parties that they are considering to assist in fulfilling their obligations as an ETP Issuer?</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5F32A08A" w14:textId="77777777" w:rsidR="00920A0A" w:rsidRDefault="00920A0A" w:rsidP="00920A0A">
            <w:r>
              <w:t>Registry: [</w:t>
            </w:r>
            <w:r>
              <w:rPr>
                <w:color w:val="00B050"/>
              </w:rPr>
              <w:t>insert name of registry</w:t>
            </w:r>
            <w:r>
              <w:t>]</w:t>
            </w:r>
          </w:p>
          <w:p w14:paraId="3445A7E6" w14:textId="77777777" w:rsidR="00920A0A" w:rsidRDefault="00920A0A" w:rsidP="00920A0A">
            <w:r>
              <w:t>Custodian: [</w:t>
            </w:r>
            <w:r>
              <w:rPr>
                <w:color w:val="00B050"/>
              </w:rPr>
              <w:t>insert name of custodian</w:t>
            </w:r>
            <w:r>
              <w:t>]</w:t>
            </w:r>
          </w:p>
          <w:p w14:paraId="6F46ED41" w14:textId="77777777" w:rsidR="00920A0A" w:rsidRDefault="00920A0A" w:rsidP="00920A0A">
            <w:r>
              <w:t>Market-maker: [</w:t>
            </w:r>
            <w:r>
              <w:rPr>
                <w:color w:val="00B050"/>
              </w:rPr>
              <w:t>insert name of market-maker</w:t>
            </w:r>
            <w:r>
              <w:t>]</w:t>
            </w:r>
          </w:p>
          <w:p w14:paraId="61B2BB42" w14:textId="579090E6" w:rsidR="00920A0A" w:rsidRDefault="00920A0A" w:rsidP="00920A0A">
            <w:r>
              <w:t>iNAV provider: [</w:t>
            </w:r>
            <w:r>
              <w:rPr>
                <w:color w:val="00B050"/>
              </w:rPr>
              <w:t>insert name of iNAV provider</w:t>
            </w:r>
            <w:r>
              <w:t>]</w:t>
            </w:r>
          </w:p>
        </w:tc>
      </w:tr>
      <w:tr w:rsidR="00920A0A" w14:paraId="1462FF69" w14:textId="77777777" w:rsidTr="006367B1">
        <w:tc>
          <w:tcPr>
            <w:tcW w:w="9618" w:type="dxa"/>
            <w:gridSpan w:val="3"/>
            <w:tcBorders>
              <w:top w:val="nil"/>
              <w:left w:val="single" w:sz="8" w:space="0" w:color="auto"/>
              <w:bottom w:val="single" w:sz="8" w:space="0" w:color="auto"/>
              <w:right w:val="single" w:sz="8" w:space="0" w:color="auto"/>
            </w:tcBorders>
            <w:shd w:val="clear" w:color="auto" w:fill="00B0F0"/>
            <w:tcMar>
              <w:top w:w="0" w:type="dxa"/>
              <w:left w:w="108" w:type="dxa"/>
              <w:bottom w:w="0" w:type="dxa"/>
              <w:right w:w="108" w:type="dxa"/>
            </w:tcMar>
            <w:hideMark/>
          </w:tcPr>
          <w:p w14:paraId="050B0F9F" w14:textId="77777777" w:rsidR="00920A0A" w:rsidRDefault="00920A0A" w:rsidP="00920A0A">
            <w:pPr>
              <w:rPr>
                <w:b/>
                <w:bCs/>
              </w:rPr>
            </w:pPr>
            <w:r>
              <w:rPr>
                <w:b/>
                <w:bCs/>
                <w:color w:val="FFFFFF"/>
              </w:rPr>
              <w:t>Section 2- AQUA Product Structure</w:t>
            </w:r>
          </w:p>
        </w:tc>
      </w:tr>
      <w:tr w:rsidR="00920A0A" w14:paraId="300402FA" w14:textId="77777777" w:rsidTr="006367B1">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D1EE9" w14:textId="77777777" w:rsidR="00920A0A" w:rsidRDefault="00920A0A" w:rsidP="00920A0A">
            <w:r>
              <w:t xml:space="preserve">2.1. </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14:paraId="0F7464C9" w14:textId="7FCB6BB8" w:rsidR="00920A0A" w:rsidRDefault="00920A0A" w:rsidP="00920A0A">
            <w:r>
              <w:t xml:space="preserve">Will the Issuer utilise the dual access mechanism? For further information in regards to the dual access mechanism, please refer to </w:t>
            </w:r>
            <w:hyperlink r:id="rId11" w:history="1">
              <w:r w:rsidRPr="009E3D0F">
                <w:rPr>
                  <w:rStyle w:val="Hyperlink"/>
                  <w:color w:val="00B0F0"/>
                </w:rPr>
                <w:t>INFO 230</w:t>
              </w:r>
            </w:hyperlink>
            <w:r>
              <w:t xml:space="preserve"> and the </w:t>
            </w:r>
            <w:hyperlink r:id="rId12" w:history="1">
              <w:r w:rsidRPr="009E3D0F">
                <w:rPr>
                  <w:rStyle w:val="Hyperlink"/>
                  <w:color w:val="00B0F0"/>
                </w:rPr>
                <w:t>ASX ETP Update December 2020</w:t>
              </w:r>
            </w:hyperlink>
            <w:r>
              <w:t>.</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7F4B31F5" w14:textId="77777777" w:rsidR="00920A0A" w:rsidRDefault="007E47F6" w:rsidP="00920A0A">
            <w:pPr>
              <w:rPr>
                <w:sz w:val="20"/>
                <w:szCs w:val="20"/>
              </w:rPr>
            </w:pPr>
            <w:sdt>
              <w:sdtPr>
                <w:rPr>
                  <w:sz w:val="20"/>
                  <w:szCs w:val="20"/>
                </w:rPr>
                <w:id w:val="-1012375252"/>
                <w14:checkbox>
                  <w14:checked w14:val="0"/>
                  <w14:checkedState w14:val="2612" w14:font="MS Gothic"/>
                  <w14:uncheckedState w14:val="2610" w14:font="MS Gothic"/>
                </w14:checkbox>
              </w:sdtPr>
              <w:sdtEndPr/>
              <w:sdtContent>
                <w:r w:rsidR="00920A0A">
                  <w:rPr>
                    <w:rFonts w:ascii="MS Gothic" w:eastAsia="MS Gothic" w:hAnsi="MS Gothic" w:hint="eastAsia"/>
                    <w:sz w:val="20"/>
                    <w:szCs w:val="20"/>
                    <w:lang w:val="en-US"/>
                  </w:rPr>
                  <w:t>☐</w:t>
                </w:r>
              </w:sdtContent>
            </w:sdt>
            <w:r w:rsidR="00920A0A">
              <w:rPr>
                <w:sz w:val="20"/>
                <w:szCs w:val="20"/>
              </w:rPr>
              <w:t xml:space="preserve"> Yes </w:t>
            </w:r>
            <w:r w:rsidR="00920A0A">
              <w:t>[</w:t>
            </w:r>
            <w:r w:rsidR="00920A0A">
              <w:rPr>
                <w:color w:val="00B050"/>
              </w:rPr>
              <w:t>insert name of registry</w:t>
            </w:r>
            <w:r w:rsidR="00920A0A">
              <w:t>]</w:t>
            </w:r>
          </w:p>
          <w:p w14:paraId="02C87407" w14:textId="77777777" w:rsidR="00920A0A" w:rsidRDefault="007E47F6" w:rsidP="00920A0A">
            <w:pPr>
              <w:rPr>
                <w:sz w:val="20"/>
                <w:szCs w:val="20"/>
              </w:rPr>
            </w:pPr>
            <w:sdt>
              <w:sdtPr>
                <w:rPr>
                  <w:sz w:val="20"/>
                  <w:szCs w:val="20"/>
                </w:rPr>
                <w:id w:val="638382995"/>
                <w14:checkbox>
                  <w14:checked w14:val="0"/>
                  <w14:checkedState w14:val="2612" w14:font="MS Gothic"/>
                  <w14:uncheckedState w14:val="2610" w14:font="MS Gothic"/>
                </w14:checkbox>
              </w:sdtPr>
              <w:sdtEndPr/>
              <w:sdtContent>
                <w:r w:rsidR="00920A0A">
                  <w:rPr>
                    <w:rFonts w:ascii="Segoe UI Symbol" w:hAnsi="Segoe UI Symbol"/>
                    <w:sz w:val="20"/>
                    <w:szCs w:val="20"/>
                  </w:rPr>
                  <w:t>☐</w:t>
                </w:r>
              </w:sdtContent>
            </w:sdt>
            <w:r w:rsidR="00920A0A">
              <w:rPr>
                <w:sz w:val="20"/>
                <w:szCs w:val="20"/>
              </w:rPr>
              <w:t xml:space="preserve"> No</w:t>
            </w:r>
          </w:p>
          <w:p w14:paraId="5F17D2EF" w14:textId="77777777" w:rsidR="00920A0A" w:rsidRDefault="00920A0A" w:rsidP="00920A0A"/>
        </w:tc>
      </w:tr>
      <w:tr w:rsidR="00920A0A" w14:paraId="4E84DE6B" w14:textId="77777777" w:rsidTr="006367B1">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30DBC" w14:textId="77777777" w:rsidR="00920A0A" w:rsidRDefault="00920A0A" w:rsidP="00920A0A">
            <w:r>
              <w:t xml:space="preserve">2.2.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1B62A1C4" w14:textId="77777777" w:rsidR="00920A0A" w:rsidRDefault="00920A0A" w:rsidP="00920A0A">
            <w:r>
              <w:t>Does the registry have experience with operating the dual access mechanism?</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31E4A615" w14:textId="77777777" w:rsidR="00920A0A" w:rsidRDefault="007E47F6" w:rsidP="00920A0A">
            <w:pPr>
              <w:rPr>
                <w:sz w:val="20"/>
                <w:szCs w:val="20"/>
              </w:rPr>
            </w:pPr>
            <w:sdt>
              <w:sdtPr>
                <w:rPr>
                  <w:sz w:val="20"/>
                  <w:szCs w:val="20"/>
                </w:rPr>
                <w:id w:val="559683982"/>
                <w14:checkbox>
                  <w14:checked w14:val="0"/>
                  <w14:checkedState w14:val="2612" w14:font="MS Gothic"/>
                  <w14:uncheckedState w14:val="2610" w14:font="MS Gothic"/>
                </w14:checkbox>
              </w:sdtPr>
              <w:sdtEndPr/>
              <w:sdtContent>
                <w:r w:rsidR="00920A0A">
                  <w:rPr>
                    <w:rFonts w:ascii="MS Gothic" w:eastAsia="MS Gothic" w:hAnsi="MS Gothic" w:hint="eastAsia"/>
                    <w:sz w:val="20"/>
                    <w:szCs w:val="20"/>
                    <w:lang w:val="en-US"/>
                  </w:rPr>
                  <w:t>☐</w:t>
                </w:r>
              </w:sdtContent>
            </w:sdt>
            <w:r w:rsidR="00920A0A">
              <w:rPr>
                <w:sz w:val="20"/>
                <w:szCs w:val="20"/>
              </w:rPr>
              <w:t xml:space="preserve"> Yes</w:t>
            </w:r>
          </w:p>
          <w:p w14:paraId="2BC45137" w14:textId="77777777" w:rsidR="00920A0A" w:rsidRDefault="007E47F6" w:rsidP="00920A0A">
            <w:pPr>
              <w:rPr>
                <w:sz w:val="20"/>
                <w:szCs w:val="20"/>
              </w:rPr>
            </w:pPr>
            <w:sdt>
              <w:sdtPr>
                <w:rPr>
                  <w:sz w:val="20"/>
                  <w:szCs w:val="20"/>
                </w:rPr>
                <w:id w:val="-1691291668"/>
                <w14:checkbox>
                  <w14:checked w14:val="0"/>
                  <w14:checkedState w14:val="2612" w14:font="MS Gothic"/>
                  <w14:uncheckedState w14:val="2610" w14:font="MS Gothic"/>
                </w14:checkbox>
              </w:sdtPr>
              <w:sdtEndPr/>
              <w:sdtContent>
                <w:r w:rsidR="00920A0A">
                  <w:rPr>
                    <w:rFonts w:ascii="Segoe UI Symbol" w:hAnsi="Segoe UI Symbol"/>
                    <w:sz w:val="20"/>
                    <w:szCs w:val="20"/>
                  </w:rPr>
                  <w:t>☐</w:t>
                </w:r>
              </w:sdtContent>
            </w:sdt>
            <w:r w:rsidR="00920A0A">
              <w:rPr>
                <w:sz w:val="20"/>
                <w:szCs w:val="20"/>
              </w:rPr>
              <w:t xml:space="preserve"> No</w:t>
            </w:r>
          </w:p>
          <w:p w14:paraId="256C7FCD" w14:textId="77777777" w:rsidR="00920A0A" w:rsidRDefault="007E47F6" w:rsidP="00920A0A">
            <w:pPr>
              <w:rPr>
                <w:sz w:val="20"/>
                <w:szCs w:val="20"/>
              </w:rPr>
            </w:pPr>
            <w:sdt>
              <w:sdtPr>
                <w:rPr>
                  <w:sz w:val="20"/>
                  <w:szCs w:val="20"/>
                </w:rPr>
                <w:id w:val="-1682738181"/>
                <w14:checkbox>
                  <w14:checked w14:val="0"/>
                  <w14:checkedState w14:val="2612" w14:font="MS Gothic"/>
                  <w14:uncheckedState w14:val="2610" w14:font="MS Gothic"/>
                </w14:checkbox>
              </w:sdtPr>
              <w:sdtEndPr/>
              <w:sdtContent>
                <w:r w:rsidR="00920A0A">
                  <w:rPr>
                    <w:rFonts w:ascii="Segoe UI Symbol" w:hAnsi="Segoe UI Symbol"/>
                    <w:sz w:val="20"/>
                    <w:szCs w:val="20"/>
                  </w:rPr>
                  <w:t>☐</w:t>
                </w:r>
              </w:sdtContent>
            </w:sdt>
            <w:r w:rsidR="00920A0A">
              <w:rPr>
                <w:sz w:val="20"/>
                <w:szCs w:val="20"/>
              </w:rPr>
              <w:t xml:space="preserve"> N/A</w:t>
            </w:r>
          </w:p>
          <w:p w14:paraId="4E6FA6A0" w14:textId="77777777" w:rsidR="00920A0A" w:rsidRDefault="00920A0A" w:rsidP="00920A0A"/>
          <w:p w14:paraId="4D2CE61E" w14:textId="70556BD8" w:rsidR="00920A0A" w:rsidRDefault="00920A0A" w:rsidP="00920A0A">
            <w:r>
              <w:lastRenderedPageBreak/>
              <w:t>If the answer is 'No', ASX recommends that the applicant commence discussions at least three months prior to seeking admission, in order to determine whether the registry has sufficient arrangements in place to operate the dual access mechanism.</w:t>
            </w:r>
          </w:p>
        </w:tc>
      </w:tr>
      <w:tr w:rsidR="00920A0A" w14:paraId="42662791" w14:textId="77777777" w:rsidTr="006367B1">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5A0B0" w14:textId="77777777" w:rsidR="00920A0A" w:rsidRDefault="00920A0A" w:rsidP="00920A0A">
            <w:r>
              <w:lastRenderedPageBreak/>
              <w:t xml:space="preserve">2.2. </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14:paraId="61E97560" w14:textId="39C55B79" w:rsidR="00920A0A" w:rsidRDefault="00920A0A" w:rsidP="009E3D0F">
            <w:r>
              <w:t xml:space="preserve">Will the Fund(s) adopt a feeder-fund structure? </w:t>
            </w:r>
          </w:p>
          <w:p w14:paraId="08BC4376" w14:textId="77777777" w:rsidR="00920A0A" w:rsidRDefault="00920A0A" w:rsidP="009E3D0F"/>
          <w:p w14:paraId="7078CF8E" w14:textId="4AC60DEC" w:rsidR="00920A0A" w:rsidRDefault="00920A0A" w:rsidP="009E3D0F">
            <w:r w:rsidRPr="009E3D0F">
              <w:rPr>
                <w:i/>
              </w:rPr>
              <w:t xml:space="preserve">Note: </w:t>
            </w:r>
            <w:r>
              <w:rPr>
                <w:i/>
              </w:rPr>
              <w:t>T</w:t>
            </w:r>
            <w:r w:rsidRPr="009E3D0F">
              <w:rPr>
                <w:i/>
              </w:rPr>
              <w:t>his is a structure where the ETP will achieve its investment strategy by investing in one or multiple unlisted managed investment scheme(s).</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65BF7371" w14:textId="77777777" w:rsidR="00920A0A" w:rsidRDefault="007E47F6" w:rsidP="00920A0A">
            <w:pPr>
              <w:rPr>
                <w:sz w:val="20"/>
                <w:szCs w:val="20"/>
              </w:rPr>
            </w:pPr>
            <w:sdt>
              <w:sdtPr>
                <w:rPr>
                  <w:sz w:val="20"/>
                  <w:szCs w:val="20"/>
                </w:rPr>
                <w:id w:val="-371465152"/>
                <w14:checkbox>
                  <w14:checked w14:val="0"/>
                  <w14:checkedState w14:val="2612" w14:font="MS Gothic"/>
                  <w14:uncheckedState w14:val="2610" w14:font="MS Gothic"/>
                </w14:checkbox>
              </w:sdtPr>
              <w:sdtEndPr/>
              <w:sdtContent>
                <w:r w:rsidR="00920A0A">
                  <w:rPr>
                    <w:rFonts w:ascii="MS Gothic" w:eastAsia="MS Gothic" w:hAnsi="MS Gothic" w:hint="eastAsia"/>
                    <w:sz w:val="20"/>
                    <w:szCs w:val="20"/>
                    <w:lang w:val="en-US"/>
                  </w:rPr>
                  <w:t>☐</w:t>
                </w:r>
              </w:sdtContent>
            </w:sdt>
            <w:r w:rsidR="00920A0A">
              <w:rPr>
                <w:sz w:val="20"/>
                <w:szCs w:val="20"/>
              </w:rPr>
              <w:t xml:space="preserve"> Yes</w:t>
            </w:r>
            <w:r w:rsidR="00920A0A">
              <w:t>, please complete Question 2.3</w:t>
            </w:r>
          </w:p>
          <w:p w14:paraId="7CBCB5CD" w14:textId="77777777" w:rsidR="00920A0A" w:rsidRDefault="007E47F6" w:rsidP="00920A0A">
            <w:pPr>
              <w:rPr>
                <w:sz w:val="20"/>
                <w:szCs w:val="20"/>
              </w:rPr>
            </w:pPr>
            <w:sdt>
              <w:sdtPr>
                <w:rPr>
                  <w:sz w:val="20"/>
                  <w:szCs w:val="20"/>
                </w:rPr>
                <w:id w:val="-378629062"/>
                <w14:checkbox>
                  <w14:checked w14:val="0"/>
                  <w14:checkedState w14:val="2612" w14:font="MS Gothic"/>
                  <w14:uncheckedState w14:val="2610" w14:font="MS Gothic"/>
                </w14:checkbox>
              </w:sdtPr>
              <w:sdtEndPr/>
              <w:sdtContent>
                <w:r w:rsidR="00920A0A">
                  <w:rPr>
                    <w:rFonts w:ascii="Segoe UI Symbol" w:hAnsi="Segoe UI Symbol"/>
                    <w:sz w:val="20"/>
                    <w:szCs w:val="20"/>
                  </w:rPr>
                  <w:t>☐</w:t>
                </w:r>
              </w:sdtContent>
            </w:sdt>
            <w:r w:rsidR="00920A0A">
              <w:rPr>
                <w:sz w:val="20"/>
                <w:szCs w:val="20"/>
              </w:rPr>
              <w:t xml:space="preserve"> No</w:t>
            </w:r>
          </w:p>
          <w:p w14:paraId="6E976E0F" w14:textId="77777777" w:rsidR="00920A0A" w:rsidRDefault="00920A0A" w:rsidP="00920A0A"/>
        </w:tc>
      </w:tr>
      <w:tr w:rsidR="00920A0A" w14:paraId="26184A21" w14:textId="77777777" w:rsidTr="006367B1">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08B1BA" w14:textId="77777777" w:rsidR="00920A0A" w:rsidRDefault="00920A0A" w:rsidP="00920A0A">
            <w:r>
              <w:t xml:space="preserve">2.3. </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14:paraId="3C97146C" w14:textId="77777777" w:rsidR="00920A0A" w:rsidRDefault="00920A0A" w:rsidP="00920A0A">
            <w:r>
              <w:t>Can the applicant comply with the following requirements:</w:t>
            </w:r>
          </w:p>
          <w:p w14:paraId="0AF743A3" w14:textId="77777777" w:rsidR="00920A0A" w:rsidRDefault="00920A0A" w:rsidP="00920A0A"/>
          <w:p w14:paraId="4AEA73DE" w14:textId="77777777" w:rsidR="00920A0A" w:rsidRDefault="00920A0A" w:rsidP="00920A0A">
            <w:pPr>
              <w:pStyle w:val="ListParagraph"/>
              <w:numPr>
                <w:ilvl w:val="0"/>
                <w:numId w:val="39"/>
              </w:numPr>
            </w:pPr>
            <w:r>
              <w:t>The Responsible Entity of the Underlying Fund(s) must be the same as the Responsible Entity of the ETP.</w:t>
            </w:r>
          </w:p>
          <w:p w14:paraId="1F6BF992" w14:textId="77777777" w:rsidR="00920A0A" w:rsidRDefault="00920A0A" w:rsidP="00920A0A">
            <w:pPr>
              <w:pStyle w:val="ListParagraph"/>
              <w:numPr>
                <w:ilvl w:val="0"/>
                <w:numId w:val="39"/>
              </w:numPr>
            </w:pPr>
            <w:r>
              <w:t>The Underlying Fund(s) must hold only investments that comply with Operating Rule Schedule 10A.3.3(c).</w:t>
            </w:r>
          </w:p>
          <w:p w14:paraId="0C521B6D" w14:textId="77777777" w:rsidR="00920A0A" w:rsidRDefault="00920A0A" w:rsidP="00920A0A">
            <w:pPr>
              <w:pStyle w:val="ListParagraph"/>
              <w:numPr>
                <w:ilvl w:val="0"/>
                <w:numId w:val="39"/>
              </w:numPr>
            </w:pPr>
            <w:r>
              <w:t>The Underlying Fund(s) must not contravene the prohibitions under Operating Rule Schedule Rule 10A.3.3(d).</w:t>
            </w:r>
          </w:p>
          <w:p w14:paraId="44F2DFB7" w14:textId="77777777" w:rsidR="00920A0A" w:rsidRDefault="00920A0A" w:rsidP="00920A0A">
            <w:pPr>
              <w:pStyle w:val="ListParagraph"/>
              <w:numPr>
                <w:ilvl w:val="0"/>
                <w:numId w:val="39"/>
              </w:numPr>
            </w:pPr>
            <w:r>
              <w:t>The applicant must be able to review the underlying investments of the Underlying Fund(s) monthly to ensure compliance with Rules Operating Rule Schedule 10A.3.3(c) and (d).</w:t>
            </w:r>
          </w:p>
          <w:p w14:paraId="347D5562" w14:textId="77777777" w:rsidR="00920A0A" w:rsidRDefault="00920A0A" w:rsidP="00920A0A"/>
          <w:p w14:paraId="177C2ADA" w14:textId="7F179491" w:rsidR="006367B1" w:rsidRDefault="007E47F6" w:rsidP="006367B1">
            <w:hyperlink r:id="rId13" w:history="1">
              <w:r w:rsidR="00920A0A" w:rsidRPr="009E3D0F">
                <w:rPr>
                  <w:rStyle w:val="Hyperlink"/>
                  <w:color w:val="00B0F0"/>
                </w:rPr>
                <w:t>Operating Rule Schedule 10A</w:t>
              </w:r>
            </w:hyperlink>
            <w:r w:rsidR="00920A0A">
              <w:t xml:space="preserve"> can be accessed via </w:t>
            </w:r>
            <w:hyperlink r:id="rId14" w:history="1">
              <w:r w:rsidR="00920A0A" w:rsidRPr="009E3D0F">
                <w:rPr>
                  <w:rStyle w:val="Hyperlink"/>
                  <w:color w:val="00B0F0"/>
                </w:rPr>
                <w:t>ASX Operating Rules Schedules</w:t>
              </w:r>
            </w:hyperlink>
            <w:r w:rsidR="00920A0A">
              <w:t xml:space="preserve">. All Operating Rules, Schedule and Procedures are available via the </w:t>
            </w:r>
            <w:hyperlink r:id="rId15" w:history="1">
              <w:r w:rsidR="00920A0A" w:rsidRPr="009E3D0F">
                <w:rPr>
                  <w:rStyle w:val="Hyperlink"/>
                  <w:color w:val="00B0F0"/>
                </w:rPr>
                <w:t>ASX website</w:t>
              </w:r>
            </w:hyperlink>
            <w:r w:rsidR="00920A0A">
              <w:t>.</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11849B0E" w14:textId="77777777" w:rsidR="00920A0A" w:rsidRDefault="007E47F6" w:rsidP="00920A0A">
            <w:pPr>
              <w:rPr>
                <w:sz w:val="20"/>
                <w:szCs w:val="20"/>
              </w:rPr>
            </w:pPr>
            <w:sdt>
              <w:sdtPr>
                <w:rPr>
                  <w:sz w:val="20"/>
                  <w:szCs w:val="20"/>
                </w:rPr>
                <w:id w:val="1157193077"/>
                <w14:checkbox>
                  <w14:checked w14:val="0"/>
                  <w14:checkedState w14:val="2612" w14:font="MS Gothic"/>
                  <w14:uncheckedState w14:val="2610" w14:font="MS Gothic"/>
                </w14:checkbox>
              </w:sdtPr>
              <w:sdtEndPr/>
              <w:sdtContent>
                <w:r w:rsidR="00920A0A">
                  <w:rPr>
                    <w:rFonts w:ascii="MS Gothic" w:eastAsia="MS Gothic" w:hAnsi="MS Gothic" w:hint="eastAsia"/>
                    <w:sz w:val="20"/>
                    <w:szCs w:val="20"/>
                    <w:lang w:val="en-US"/>
                  </w:rPr>
                  <w:t>☐</w:t>
                </w:r>
              </w:sdtContent>
            </w:sdt>
            <w:r w:rsidR="00920A0A">
              <w:rPr>
                <w:sz w:val="20"/>
                <w:szCs w:val="20"/>
              </w:rPr>
              <w:t xml:space="preserve"> Yes</w:t>
            </w:r>
          </w:p>
          <w:p w14:paraId="273D21DC" w14:textId="77777777" w:rsidR="00920A0A" w:rsidRDefault="007E47F6" w:rsidP="00920A0A">
            <w:pPr>
              <w:rPr>
                <w:sz w:val="20"/>
                <w:szCs w:val="20"/>
              </w:rPr>
            </w:pPr>
            <w:sdt>
              <w:sdtPr>
                <w:rPr>
                  <w:sz w:val="20"/>
                  <w:szCs w:val="20"/>
                </w:rPr>
                <w:id w:val="-1459333058"/>
                <w14:checkbox>
                  <w14:checked w14:val="0"/>
                  <w14:checkedState w14:val="2612" w14:font="MS Gothic"/>
                  <w14:uncheckedState w14:val="2610" w14:font="MS Gothic"/>
                </w14:checkbox>
              </w:sdtPr>
              <w:sdtEndPr/>
              <w:sdtContent>
                <w:r w:rsidR="00920A0A">
                  <w:rPr>
                    <w:rFonts w:ascii="Segoe UI Symbol" w:hAnsi="Segoe UI Symbol"/>
                    <w:sz w:val="20"/>
                    <w:szCs w:val="20"/>
                  </w:rPr>
                  <w:t>☐</w:t>
                </w:r>
              </w:sdtContent>
            </w:sdt>
            <w:r w:rsidR="00920A0A">
              <w:rPr>
                <w:sz w:val="20"/>
                <w:szCs w:val="20"/>
              </w:rPr>
              <w:t xml:space="preserve"> No</w:t>
            </w:r>
          </w:p>
          <w:p w14:paraId="6F48AA1E" w14:textId="77777777" w:rsidR="00920A0A" w:rsidRDefault="007E47F6" w:rsidP="00920A0A">
            <w:pPr>
              <w:rPr>
                <w:sz w:val="20"/>
                <w:szCs w:val="20"/>
              </w:rPr>
            </w:pPr>
            <w:sdt>
              <w:sdtPr>
                <w:rPr>
                  <w:sz w:val="20"/>
                  <w:szCs w:val="20"/>
                </w:rPr>
                <w:id w:val="-1344160186"/>
                <w14:checkbox>
                  <w14:checked w14:val="0"/>
                  <w14:checkedState w14:val="2612" w14:font="MS Gothic"/>
                  <w14:uncheckedState w14:val="2610" w14:font="MS Gothic"/>
                </w14:checkbox>
              </w:sdtPr>
              <w:sdtEndPr/>
              <w:sdtContent>
                <w:r w:rsidR="00920A0A">
                  <w:rPr>
                    <w:rFonts w:ascii="Segoe UI Symbol" w:hAnsi="Segoe UI Symbol"/>
                    <w:sz w:val="20"/>
                    <w:szCs w:val="20"/>
                  </w:rPr>
                  <w:t>☐</w:t>
                </w:r>
              </w:sdtContent>
            </w:sdt>
            <w:r w:rsidR="00920A0A">
              <w:rPr>
                <w:sz w:val="20"/>
                <w:szCs w:val="20"/>
              </w:rPr>
              <w:t xml:space="preserve"> N/A</w:t>
            </w:r>
          </w:p>
          <w:p w14:paraId="51B33FC0" w14:textId="77777777" w:rsidR="00920A0A" w:rsidRDefault="00920A0A" w:rsidP="00920A0A"/>
          <w:p w14:paraId="64A19685" w14:textId="77777777" w:rsidR="00920A0A" w:rsidRDefault="00920A0A" w:rsidP="00920A0A">
            <w:r>
              <w:t>If the answer is 'No', the ETP may not be suitable for quotation under the AQUA Rules.</w:t>
            </w:r>
          </w:p>
        </w:tc>
      </w:tr>
      <w:tr w:rsidR="00920A0A" w14:paraId="1F1B167D" w14:textId="77777777" w:rsidTr="006367B1">
        <w:tc>
          <w:tcPr>
            <w:tcW w:w="9618" w:type="dxa"/>
            <w:gridSpan w:val="3"/>
            <w:tcBorders>
              <w:top w:val="nil"/>
              <w:left w:val="single" w:sz="8" w:space="0" w:color="auto"/>
              <w:bottom w:val="single" w:sz="8" w:space="0" w:color="auto"/>
              <w:right w:val="single" w:sz="8" w:space="0" w:color="auto"/>
            </w:tcBorders>
            <w:shd w:val="clear" w:color="auto" w:fill="00B0F0"/>
            <w:tcMar>
              <w:top w:w="0" w:type="dxa"/>
              <w:left w:w="108" w:type="dxa"/>
              <w:bottom w:w="0" w:type="dxa"/>
              <w:right w:w="108" w:type="dxa"/>
            </w:tcMar>
            <w:hideMark/>
          </w:tcPr>
          <w:p w14:paraId="0CE0975A" w14:textId="77777777" w:rsidR="00920A0A" w:rsidRDefault="00920A0A" w:rsidP="00920A0A">
            <w:pPr>
              <w:rPr>
                <w:b/>
                <w:bCs/>
              </w:rPr>
            </w:pPr>
            <w:r>
              <w:rPr>
                <w:b/>
                <w:bCs/>
                <w:color w:val="FFFFFF"/>
              </w:rPr>
              <w:t>Section 3 - Investment Mandate</w:t>
            </w:r>
          </w:p>
        </w:tc>
      </w:tr>
      <w:tr w:rsidR="00920A0A" w14:paraId="18C1C3B7" w14:textId="77777777" w:rsidTr="006367B1">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3A7520" w14:textId="77777777" w:rsidR="00920A0A" w:rsidRDefault="00920A0A" w:rsidP="00920A0A">
            <w:r>
              <w:t xml:space="preserve">3.1.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0CE0238A" w14:textId="46AB6EFE" w:rsidR="00920A0A" w:rsidRDefault="00920A0A" w:rsidP="00920A0A">
            <w:r>
              <w:t>Will the Underlying Instrument(s)</w:t>
            </w:r>
            <w:r>
              <w:rPr>
                <w:rStyle w:val="FootnoteReference"/>
              </w:rPr>
              <w:footnoteReference w:id="2"/>
            </w:r>
            <w:r>
              <w:t xml:space="preserve"> be compliant with Operating Rule Schedule 10A.3.3(c)?</w:t>
            </w:r>
          </w:p>
          <w:p w14:paraId="39CDEAE7" w14:textId="77777777" w:rsidR="006367B1" w:rsidRDefault="006367B1" w:rsidP="00920A0A"/>
          <w:p w14:paraId="20D583CF" w14:textId="77777777" w:rsidR="00920A0A" w:rsidRDefault="00920A0A" w:rsidP="00920A0A"/>
          <w:p w14:paraId="76AC43E8" w14:textId="1F0161FD" w:rsidR="00920A0A" w:rsidRPr="009E3D0F" w:rsidRDefault="00920A0A" w:rsidP="00920A0A">
            <w:pPr>
              <w:rPr>
                <w:i/>
              </w:rPr>
            </w:pPr>
            <w:r>
              <w:rPr>
                <w:i/>
              </w:rPr>
              <w:t xml:space="preserve">Note: </w:t>
            </w:r>
            <w:r w:rsidRPr="009E3D0F">
              <w:rPr>
                <w:i/>
              </w:rPr>
              <w:t xml:space="preserve">See </w:t>
            </w:r>
            <w:r w:rsidRPr="009E3D0F">
              <w:rPr>
                <w:b/>
                <w:i/>
              </w:rPr>
              <w:t>Appendix A</w:t>
            </w:r>
            <w:r w:rsidRPr="009E3D0F">
              <w:rPr>
                <w:i/>
              </w:rPr>
              <w:t xml:space="preserve"> for a list of Underlying Instrument(s) specified in 10A.3.3(c)</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49B62214" w14:textId="7E76037F" w:rsidR="00920A0A" w:rsidRDefault="007E47F6" w:rsidP="00920A0A">
            <w:sdt>
              <w:sdtPr>
                <w:rPr>
                  <w:sz w:val="20"/>
                  <w:szCs w:val="20"/>
                </w:rPr>
                <w:id w:val="-1259749224"/>
                <w14:checkbox>
                  <w14:checked w14:val="0"/>
                  <w14:checkedState w14:val="2612" w14:font="MS Gothic"/>
                  <w14:uncheckedState w14:val="2610" w14:font="MS Gothic"/>
                </w14:checkbox>
              </w:sdtPr>
              <w:sdtEndPr/>
              <w:sdtContent>
                <w:r w:rsidR="00920A0A">
                  <w:rPr>
                    <w:rFonts w:ascii="MS Gothic" w:eastAsia="MS Gothic" w:hAnsi="MS Gothic" w:hint="eastAsia"/>
                    <w:sz w:val="20"/>
                    <w:szCs w:val="20"/>
                    <w:lang w:val="en-US"/>
                  </w:rPr>
                  <w:t>☐</w:t>
                </w:r>
              </w:sdtContent>
            </w:sdt>
            <w:r w:rsidR="00920A0A">
              <w:rPr>
                <w:sz w:val="20"/>
                <w:szCs w:val="20"/>
              </w:rPr>
              <w:t xml:space="preserve"> Yes, </w:t>
            </w:r>
            <w:r w:rsidR="00920A0A">
              <w:t>please provide further</w:t>
            </w:r>
            <w:r w:rsidR="009E3D0F">
              <w:t xml:space="preserve"> Underlying Instrument</w:t>
            </w:r>
            <w:r w:rsidR="00920A0A">
              <w:t xml:space="preserve"> information below.</w:t>
            </w:r>
          </w:p>
          <w:p w14:paraId="1071112E" w14:textId="77777777" w:rsidR="009E3D0F" w:rsidRDefault="009E3D0F" w:rsidP="00920A0A">
            <w:pPr>
              <w:rPr>
                <w:sz w:val="20"/>
                <w:szCs w:val="20"/>
              </w:rPr>
            </w:pPr>
          </w:p>
          <w:p w14:paraId="6B462A69" w14:textId="6A0FFF13" w:rsidR="00920A0A" w:rsidRDefault="007E47F6" w:rsidP="00920A0A">
            <w:pPr>
              <w:rPr>
                <w:sz w:val="20"/>
                <w:szCs w:val="20"/>
              </w:rPr>
            </w:pPr>
            <w:sdt>
              <w:sdtPr>
                <w:rPr>
                  <w:sz w:val="20"/>
                  <w:szCs w:val="20"/>
                </w:rPr>
                <w:id w:val="-198085048"/>
                <w14:checkbox>
                  <w14:checked w14:val="0"/>
                  <w14:checkedState w14:val="2612" w14:font="MS Gothic"/>
                  <w14:uncheckedState w14:val="2610" w14:font="MS Gothic"/>
                </w14:checkbox>
              </w:sdtPr>
              <w:sdtEndPr/>
              <w:sdtContent>
                <w:r w:rsidR="00920A0A">
                  <w:rPr>
                    <w:rFonts w:ascii="Segoe UI Symbol" w:hAnsi="Segoe UI Symbol"/>
                    <w:sz w:val="20"/>
                    <w:szCs w:val="20"/>
                  </w:rPr>
                  <w:t>☐</w:t>
                </w:r>
              </w:sdtContent>
            </w:sdt>
            <w:r w:rsidR="00920A0A">
              <w:rPr>
                <w:sz w:val="20"/>
                <w:szCs w:val="20"/>
              </w:rPr>
              <w:t xml:space="preserve"> No</w:t>
            </w:r>
          </w:p>
          <w:p w14:paraId="02B9621C" w14:textId="77777777" w:rsidR="009E3D0F" w:rsidRDefault="009E3D0F" w:rsidP="00920A0A">
            <w:pPr>
              <w:rPr>
                <w:sz w:val="20"/>
                <w:szCs w:val="20"/>
              </w:rPr>
            </w:pPr>
          </w:p>
          <w:p w14:paraId="25C74E35" w14:textId="77777777" w:rsidR="009E3D0F" w:rsidRDefault="009E3D0F" w:rsidP="009E3D0F">
            <w:r>
              <w:t>If the answer is 'No', the ETP may not be suitable for quotation under the AQUA Rules.</w:t>
            </w:r>
          </w:p>
          <w:p w14:paraId="7DD5F37B" w14:textId="7ED84A10" w:rsidR="00920A0A" w:rsidRDefault="00920A0A" w:rsidP="00920A0A"/>
          <w:p w14:paraId="04C9EFDD" w14:textId="2A20A811" w:rsidR="009E3D0F" w:rsidRPr="009E3D0F" w:rsidRDefault="009E3D0F" w:rsidP="00920A0A">
            <w:pPr>
              <w:rPr>
                <w:i/>
              </w:rPr>
            </w:pPr>
            <w:r w:rsidRPr="009E3D0F">
              <w:rPr>
                <w:i/>
              </w:rPr>
              <w:t>Underlying Instrument Information</w:t>
            </w:r>
          </w:p>
          <w:p w14:paraId="13EAA0E9" w14:textId="77777777" w:rsidR="00920A0A" w:rsidRDefault="00920A0A" w:rsidP="00920A0A">
            <w:pPr>
              <w:pStyle w:val="ListParagraph"/>
              <w:numPr>
                <w:ilvl w:val="0"/>
                <w:numId w:val="40"/>
              </w:numPr>
            </w:pPr>
            <w:r>
              <w:lastRenderedPageBreak/>
              <w:t>[</w:t>
            </w:r>
            <w:r>
              <w:rPr>
                <w:color w:val="00B050"/>
              </w:rPr>
              <w:t>Insert Underlying Instrument</w:t>
            </w:r>
            <w:r>
              <w:t>] [</w:t>
            </w:r>
            <w:r>
              <w:rPr>
                <w:color w:val="00B050"/>
              </w:rPr>
              <w:t>Insert relevant paragraph under Rule 10A.3.3(c)</w:t>
            </w:r>
            <w:r>
              <w:t>]</w:t>
            </w:r>
          </w:p>
          <w:p w14:paraId="2B2BBB6D" w14:textId="77777777" w:rsidR="00920A0A" w:rsidRDefault="00920A0A" w:rsidP="00920A0A">
            <w:pPr>
              <w:pStyle w:val="ListParagraph"/>
              <w:numPr>
                <w:ilvl w:val="0"/>
                <w:numId w:val="40"/>
              </w:numPr>
            </w:pPr>
            <w:r>
              <w:t>[</w:t>
            </w:r>
            <w:r>
              <w:rPr>
                <w:color w:val="00B050"/>
              </w:rPr>
              <w:t>Insert Underlying Instrument</w:t>
            </w:r>
            <w:r>
              <w:t>] [</w:t>
            </w:r>
            <w:r>
              <w:rPr>
                <w:color w:val="00B050"/>
              </w:rPr>
              <w:t>Insert relevant paragraph under Rule 10A.3.3(c)]</w:t>
            </w:r>
          </w:p>
          <w:p w14:paraId="47C20197" w14:textId="77777777" w:rsidR="00920A0A" w:rsidRDefault="00920A0A" w:rsidP="00920A0A">
            <w:pPr>
              <w:pStyle w:val="ListParagraph"/>
              <w:numPr>
                <w:ilvl w:val="0"/>
                <w:numId w:val="40"/>
              </w:numPr>
            </w:pPr>
            <w:r>
              <w:t>[</w:t>
            </w:r>
            <w:r>
              <w:rPr>
                <w:color w:val="00B050"/>
              </w:rPr>
              <w:t>Insert Underlying Instrument</w:t>
            </w:r>
            <w:r>
              <w:t>] [</w:t>
            </w:r>
            <w:r>
              <w:rPr>
                <w:color w:val="00B050"/>
              </w:rPr>
              <w:t>Insert relevant paragraph under Rule 10A.3.3(c)</w:t>
            </w:r>
            <w:r>
              <w:t>]</w:t>
            </w:r>
          </w:p>
          <w:p w14:paraId="5E2A5312" w14:textId="4BB07C3F" w:rsidR="00920A0A" w:rsidRDefault="00920A0A" w:rsidP="009E3D0F">
            <w:pPr>
              <w:pStyle w:val="ListParagraph"/>
              <w:numPr>
                <w:ilvl w:val="0"/>
                <w:numId w:val="40"/>
              </w:numPr>
            </w:pPr>
            <w:r>
              <w:t>[</w:t>
            </w:r>
            <w:r>
              <w:rPr>
                <w:color w:val="00B050"/>
              </w:rPr>
              <w:t>Insert Underlying Instrument</w:t>
            </w:r>
            <w:r>
              <w:t>] [</w:t>
            </w:r>
            <w:r>
              <w:rPr>
                <w:color w:val="00B050"/>
              </w:rPr>
              <w:t>Insert relevant paragraph under Rule 10A.3.3(c)</w:t>
            </w:r>
            <w:r>
              <w:t>]</w:t>
            </w:r>
          </w:p>
        </w:tc>
      </w:tr>
      <w:tr w:rsidR="00920A0A" w14:paraId="4A0B1C5B" w14:textId="77777777" w:rsidTr="006367B1">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E05B7" w14:textId="77777777" w:rsidR="00920A0A" w:rsidRDefault="00920A0A" w:rsidP="00920A0A">
            <w:r>
              <w:lastRenderedPageBreak/>
              <w:t>3.2.</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69AE2D32" w14:textId="77777777" w:rsidR="00920A0A" w:rsidRDefault="00920A0A" w:rsidP="00920A0A">
            <w:r>
              <w:t>Will the Fund engage in short-selling?</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5A08D0B2" w14:textId="77777777" w:rsidR="00920A0A" w:rsidRDefault="007E47F6" w:rsidP="00920A0A">
            <w:pPr>
              <w:rPr>
                <w:sz w:val="20"/>
                <w:szCs w:val="20"/>
              </w:rPr>
            </w:pPr>
            <w:sdt>
              <w:sdtPr>
                <w:rPr>
                  <w:sz w:val="20"/>
                  <w:szCs w:val="20"/>
                </w:rPr>
                <w:id w:val="-679429585"/>
                <w14:checkbox>
                  <w14:checked w14:val="0"/>
                  <w14:checkedState w14:val="2612" w14:font="MS Gothic"/>
                  <w14:uncheckedState w14:val="2610" w14:font="MS Gothic"/>
                </w14:checkbox>
              </w:sdtPr>
              <w:sdtEndPr/>
              <w:sdtContent>
                <w:r w:rsidR="00920A0A">
                  <w:rPr>
                    <w:rFonts w:ascii="MS Gothic" w:eastAsia="MS Gothic" w:hAnsi="MS Gothic" w:hint="eastAsia"/>
                    <w:sz w:val="20"/>
                    <w:szCs w:val="20"/>
                    <w:lang w:val="en-US"/>
                  </w:rPr>
                  <w:t>☐</w:t>
                </w:r>
              </w:sdtContent>
            </w:sdt>
            <w:r w:rsidR="00920A0A">
              <w:rPr>
                <w:sz w:val="20"/>
                <w:szCs w:val="20"/>
              </w:rPr>
              <w:t xml:space="preserve"> Yes, </w:t>
            </w:r>
            <w:r w:rsidR="00920A0A">
              <w:t>please provide a short summary of the short-selling arrangements below.</w:t>
            </w:r>
          </w:p>
          <w:p w14:paraId="1F3B2E55" w14:textId="77777777" w:rsidR="00920A0A" w:rsidRDefault="007E47F6" w:rsidP="00920A0A">
            <w:pPr>
              <w:rPr>
                <w:sz w:val="20"/>
                <w:szCs w:val="20"/>
              </w:rPr>
            </w:pPr>
            <w:sdt>
              <w:sdtPr>
                <w:rPr>
                  <w:sz w:val="20"/>
                  <w:szCs w:val="20"/>
                </w:rPr>
                <w:id w:val="253107351"/>
                <w14:checkbox>
                  <w14:checked w14:val="0"/>
                  <w14:checkedState w14:val="2612" w14:font="MS Gothic"/>
                  <w14:uncheckedState w14:val="2610" w14:font="MS Gothic"/>
                </w14:checkbox>
              </w:sdtPr>
              <w:sdtEndPr/>
              <w:sdtContent>
                <w:r w:rsidR="00920A0A">
                  <w:rPr>
                    <w:rFonts w:ascii="Segoe UI Symbol" w:hAnsi="Segoe UI Symbol"/>
                    <w:sz w:val="20"/>
                    <w:szCs w:val="20"/>
                  </w:rPr>
                  <w:t>☐</w:t>
                </w:r>
              </w:sdtContent>
            </w:sdt>
            <w:r w:rsidR="00920A0A">
              <w:rPr>
                <w:sz w:val="20"/>
                <w:szCs w:val="20"/>
              </w:rPr>
              <w:t xml:space="preserve"> No</w:t>
            </w:r>
          </w:p>
          <w:p w14:paraId="3C6D3B69" w14:textId="77777777" w:rsidR="00920A0A" w:rsidRDefault="00920A0A" w:rsidP="00920A0A"/>
          <w:p w14:paraId="4D081499" w14:textId="0008ABF3" w:rsidR="00920A0A" w:rsidRDefault="00920A0A" w:rsidP="00920A0A">
            <w:r>
              <w:t>[</w:t>
            </w:r>
            <w:r>
              <w:rPr>
                <w:color w:val="00B050"/>
              </w:rPr>
              <w:t>Insert summary of short-selling arrangements below</w:t>
            </w:r>
            <w:r>
              <w:t>]</w:t>
            </w:r>
          </w:p>
        </w:tc>
      </w:tr>
      <w:tr w:rsidR="00920A0A" w14:paraId="26F98BDB" w14:textId="77777777" w:rsidTr="006367B1">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BA2AE" w14:textId="77777777" w:rsidR="00920A0A" w:rsidRDefault="00920A0A" w:rsidP="00920A0A">
            <w:r>
              <w:t>3.3.</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14:paraId="1BACBBF7" w14:textId="77777777" w:rsidR="00920A0A" w:rsidRDefault="00920A0A" w:rsidP="00920A0A">
            <w:r>
              <w:t>Will the ETP engage in securities lending?</w:t>
            </w:r>
          </w:p>
          <w:p w14:paraId="4CB3A289" w14:textId="77777777" w:rsidR="00920A0A" w:rsidRDefault="00920A0A" w:rsidP="00920A0A"/>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226F3744" w14:textId="77777777" w:rsidR="00920A0A" w:rsidRDefault="007E47F6" w:rsidP="00920A0A">
            <w:pPr>
              <w:rPr>
                <w:sz w:val="20"/>
                <w:szCs w:val="20"/>
              </w:rPr>
            </w:pPr>
            <w:sdt>
              <w:sdtPr>
                <w:rPr>
                  <w:sz w:val="20"/>
                  <w:szCs w:val="20"/>
                </w:rPr>
                <w:id w:val="-1925248118"/>
                <w14:checkbox>
                  <w14:checked w14:val="0"/>
                  <w14:checkedState w14:val="2612" w14:font="MS Gothic"/>
                  <w14:uncheckedState w14:val="2610" w14:font="MS Gothic"/>
                </w14:checkbox>
              </w:sdtPr>
              <w:sdtEndPr/>
              <w:sdtContent>
                <w:r w:rsidR="00920A0A">
                  <w:rPr>
                    <w:rFonts w:ascii="Segoe UI Symbol" w:hAnsi="Segoe UI Symbol"/>
                    <w:sz w:val="20"/>
                    <w:szCs w:val="20"/>
                  </w:rPr>
                  <w:t>☐</w:t>
                </w:r>
              </w:sdtContent>
            </w:sdt>
            <w:r w:rsidR="00920A0A">
              <w:rPr>
                <w:sz w:val="20"/>
                <w:szCs w:val="20"/>
              </w:rPr>
              <w:t xml:space="preserve"> Yes</w:t>
            </w:r>
          </w:p>
          <w:p w14:paraId="1FA7E8D9" w14:textId="77777777" w:rsidR="00920A0A" w:rsidRDefault="007E47F6" w:rsidP="00920A0A">
            <w:pPr>
              <w:rPr>
                <w:sz w:val="20"/>
                <w:szCs w:val="20"/>
              </w:rPr>
            </w:pPr>
            <w:sdt>
              <w:sdtPr>
                <w:rPr>
                  <w:sz w:val="20"/>
                  <w:szCs w:val="20"/>
                </w:rPr>
                <w:id w:val="-24172451"/>
                <w14:checkbox>
                  <w14:checked w14:val="0"/>
                  <w14:checkedState w14:val="2612" w14:font="MS Gothic"/>
                  <w14:uncheckedState w14:val="2610" w14:font="MS Gothic"/>
                </w14:checkbox>
              </w:sdtPr>
              <w:sdtEndPr/>
              <w:sdtContent>
                <w:r w:rsidR="00920A0A">
                  <w:rPr>
                    <w:rFonts w:ascii="Segoe UI Symbol" w:hAnsi="Segoe UI Symbol"/>
                    <w:sz w:val="20"/>
                    <w:szCs w:val="20"/>
                  </w:rPr>
                  <w:t>☐</w:t>
                </w:r>
              </w:sdtContent>
            </w:sdt>
            <w:r w:rsidR="00920A0A">
              <w:rPr>
                <w:sz w:val="20"/>
                <w:szCs w:val="20"/>
              </w:rPr>
              <w:t xml:space="preserve"> No</w:t>
            </w:r>
          </w:p>
          <w:p w14:paraId="079C88B4" w14:textId="77777777" w:rsidR="00920A0A" w:rsidRDefault="00920A0A" w:rsidP="00920A0A"/>
          <w:p w14:paraId="5F2EF1A7" w14:textId="4879487E" w:rsidR="00920A0A" w:rsidRDefault="00920A0A" w:rsidP="00920A0A">
            <w:r>
              <w:t xml:space="preserve">If the answer to this question is 'Yes', the applicant will need to ensure that the securities lending arrangements comply with </w:t>
            </w:r>
            <w:hyperlink r:id="rId16" w:anchor="securities" w:history="1">
              <w:r w:rsidRPr="009E3D0F">
                <w:rPr>
                  <w:rStyle w:val="Hyperlink"/>
                  <w:color w:val="00B0F0"/>
                </w:rPr>
                <w:t>INFO 230</w:t>
              </w:r>
            </w:hyperlink>
            <w:r>
              <w:t>.</w:t>
            </w:r>
          </w:p>
        </w:tc>
      </w:tr>
      <w:tr w:rsidR="00920A0A" w14:paraId="134F6AA6" w14:textId="77777777" w:rsidTr="006367B1">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71185" w14:textId="77777777" w:rsidR="00920A0A" w:rsidRDefault="00920A0A" w:rsidP="00920A0A">
            <w:r>
              <w:t>3.4.</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48E807AA" w14:textId="77777777" w:rsidR="00920A0A" w:rsidRDefault="00920A0A" w:rsidP="00920A0A">
            <w:r>
              <w:t>Will the gross notional derivatives exposure of the ETP (including both exchange-traded and OTC derivatives) generally remain less than 10% of the NAV, excluding derivatives used to manage interest rate, credit, and currency risk?</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087AD143" w14:textId="77777777" w:rsidR="00920A0A" w:rsidRDefault="007E47F6" w:rsidP="00920A0A">
            <w:pPr>
              <w:rPr>
                <w:sz w:val="20"/>
                <w:szCs w:val="20"/>
              </w:rPr>
            </w:pPr>
            <w:sdt>
              <w:sdtPr>
                <w:rPr>
                  <w:sz w:val="20"/>
                  <w:szCs w:val="20"/>
                </w:rPr>
                <w:id w:val="-1087609684"/>
                <w14:checkbox>
                  <w14:checked w14:val="0"/>
                  <w14:checkedState w14:val="2612" w14:font="MS Gothic"/>
                  <w14:uncheckedState w14:val="2610" w14:font="MS Gothic"/>
                </w14:checkbox>
              </w:sdtPr>
              <w:sdtEndPr/>
              <w:sdtContent>
                <w:r w:rsidR="00920A0A">
                  <w:rPr>
                    <w:rFonts w:ascii="Segoe UI Symbol" w:hAnsi="Segoe UI Symbol"/>
                    <w:sz w:val="20"/>
                    <w:szCs w:val="20"/>
                  </w:rPr>
                  <w:t>☐</w:t>
                </w:r>
              </w:sdtContent>
            </w:sdt>
            <w:r w:rsidR="00920A0A">
              <w:rPr>
                <w:sz w:val="20"/>
                <w:szCs w:val="20"/>
              </w:rPr>
              <w:t xml:space="preserve"> Yes</w:t>
            </w:r>
          </w:p>
          <w:p w14:paraId="6ABABC46" w14:textId="77777777" w:rsidR="00920A0A" w:rsidRDefault="007E47F6" w:rsidP="00920A0A">
            <w:pPr>
              <w:rPr>
                <w:sz w:val="20"/>
                <w:szCs w:val="20"/>
              </w:rPr>
            </w:pPr>
            <w:sdt>
              <w:sdtPr>
                <w:rPr>
                  <w:sz w:val="20"/>
                  <w:szCs w:val="20"/>
                </w:rPr>
                <w:id w:val="1710525362"/>
                <w14:checkbox>
                  <w14:checked w14:val="0"/>
                  <w14:checkedState w14:val="2612" w14:font="MS Gothic"/>
                  <w14:uncheckedState w14:val="2610" w14:font="MS Gothic"/>
                </w14:checkbox>
              </w:sdtPr>
              <w:sdtEndPr/>
              <w:sdtContent>
                <w:r w:rsidR="00920A0A">
                  <w:rPr>
                    <w:rFonts w:ascii="Segoe UI Symbol" w:hAnsi="Segoe UI Symbol"/>
                    <w:sz w:val="20"/>
                    <w:szCs w:val="20"/>
                  </w:rPr>
                  <w:t>☐</w:t>
                </w:r>
              </w:sdtContent>
            </w:sdt>
            <w:r w:rsidR="00920A0A">
              <w:rPr>
                <w:sz w:val="20"/>
                <w:szCs w:val="20"/>
              </w:rPr>
              <w:t xml:space="preserve"> No</w:t>
            </w:r>
          </w:p>
          <w:p w14:paraId="18D5A778" w14:textId="77777777" w:rsidR="00920A0A" w:rsidRDefault="00920A0A" w:rsidP="00920A0A"/>
          <w:p w14:paraId="5786587F" w14:textId="5D1AB7DC" w:rsidR="00920A0A" w:rsidRDefault="00920A0A" w:rsidP="00920A0A">
            <w:r>
              <w:t>If the answer to this question is 'No', please provide details of the maximum gross notional derivative exposures.</w:t>
            </w:r>
          </w:p>
          <w:p w14:paraId="57FDD8ED" w14:textId="77777777" w:rsidR="00920A0A" w:rsidRDefault="00920A0A" w:rsidP="00920A0A"/>
          <w:p w14:paraId="51BE79B1" w14:textId="674767E4" w:rsidR="00920A0A" w:rsidRDefault="00920A0A" w:rsidP="00920A0A">
            <w:pPr>
              <w:pStyle w:val="ListParagraph"/>
              <w:numPr>
                <w:ilvl w:val="0"/>
                <w:numId w:val="40"/>
              </w:numPr>
            </w:pPr>
            <w:r>
              <w:t>[</w:t>
            </w:r>
            <w:r>
              <w:rPr>
                <w:color w:val="00B050"/>
              </w:rPr>
              <w:t>Insert maximum gross notional derivative exposure</w:t>
            </w:r>
            <w:r>
              <w:t>]</w:t>
            </w:r>
          </w:p>
        </w:tc>
      </w:tr>
      <w:tr w:rsidR="00920A0A" w14:paraId="4F102769" w14:textId="77777777" w:rsidTr="006367B1">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BB12A2" w14:textId="77777777" w:rsidR="00920A0A" w:rsidRDefault="00920A0A" w:rsidP="00920A0A">
            <w:r>
              <w:t>3.5.</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6BC6B0C2" w14:textId="77777777" w:rsidR="00920A0A" w:rsidRDefault="00920A0A" w:rsidP="00920A0A">
            <w:r>
              <w:t>Will the gross notional exposure of OTC derivatives generally remain less than 5% of the NAV, excluding derivatives used solely to manage currency risk?</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4077EF7F" w14:textId="77777777" w:rsidR="00920A0A" w:rsidRDefault="007E47F6" w:rsidP="00920A0A">
            <w:pPr>
              <w:rPr>
                <w:sz w:val="20"/>
                <w:szCs w:val="20"/>
              </w:rPr>
            </w:pPr>
            <w:sdt>
              <w:sdtPr>
                <w:rPr>
                  <w:sz w:val="20"/>
                  <w:szCs w:val="20"/>
                </w:rPr>
                <w:id w:val="-545601932"/>
                <w14:checkbox>
                  <w14:checked w14:val="0"/>
                  <w14:checkedState w14:val="2612" w14:font="MS Gothic"/>
                  <w14:uncheckedState w14:val="2610" w14:font="MS Gothic"/>
                </w14:checkbox>
              </w:sdtPr>
              <w:sdtEndPr/>
              <w:sdtContent>
                <w:r w:rsidR="00920A0A">
                  <w:rPr>
                    <w:rFonts w:ascii="Segoe UI Symbol" w:hAnsi="Segoe UI Symbol"/>
                    <w:sz w:val="20"/>
                    <w:szCs w:val="20"/>
                  </w:rPr>
                  <w:t>☐</w:t>
                </w:r>
              </w:sdtContent>
            </w:sdt>
            <w:r w:rsidR="00920A0A">
              <w:rPr>
                <w:sz w:val="20"/>
                <w:szCs w:val="20"/>
              </w:rPr>
              <w:t xml:space="preserve"> Yes</w:t>
            </w:r>
          </w:p>
          <w:p w14:paraId="542BC010" w14:textId="77777777" w:rsidR="00920A0A" w:rsidRDefault="007E47F6" w:rsidP="00920A0A">
            <w:pPr>
              <w:rPr>
                <w:sz w:val="20"/>
                <w:szCs w:val="20"/>
              </w:rPr>
            </w:pPr>
            <w:sdt>
              <w:sdtPr>
                <w:rPr>
                  <w:sz w:val="20"/>
                  <w:szCs w:val="20"/>
                </w:rPr>
                <w:id w:val="-1116681121"/>
                <w14:checkbox>
                  <w14:checked w14:val="0"/>
                  <w14:checkedState w14:val="2612" w14:font="MS Gothic"/>
                  <w14:uncheckedState w14:val="2610" w14:font="MS Gothic"/>
                </w14:checkbox>
              </w:sdtPr>
              <w:sdtEndPr/>
              <w:sdtContent>
                <w:r w:rsidR="00920A0A">
                  <w:rPr>
                    <w:rFonts w:ascii="Segoe UI Symbol" w:hAnsi="Segoe UI Symbol"/>
                    <w:sz w:val="20"/>
                    <w:szCs w:val="20"/>
                  </w:rPr>
                  <w:t>☐</w:t>
                </w:r>
              </w:sdtContent>
            </w:sdt>
            <w:r w:rsidR="00920A0A">
              <w:rPr>
                <w:sz w:val="20"/>
                <w:szCs w:val="20"/>
              </w:rPr>
              <w:t xml:space="preserve"> No</w:t>
            </w:r>
          </w:p>
          <w:p w14:paraId="2D74195A" w14:textId="77777777" w:rsidR="00920A0A" w:rsidRDefault="00920A0A" w:rsidP="00920A0A"/>
          <w:p w14:paraId="6A97727D" w14:textId="1FED4244" w:rsidR="00920A0A" w:rsidRDefault="00920A0A" w:rsidP="00920A0A">
            <w:r>
              <w:t>If the answer to this question is 'No', then the applicant will need to ensure that they can comply with the requirements under Operating Rule Schedule 10A.4.6.</w:t>
            </w:r>
          </w:p>
        </w:tc>
      </w:tr>
      <w:tr w:rsidR="00920A0A" w14:paraId="5AFF1761" w14:textId="77777777" w:rsidTr="006367B1">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4C69B" w14:textId="77777777" w:rsidR="00920A0A" w:rsidRDefault="00920A0A" w:rsidP="00920A0A">
            <w:r>
              <w:t>3.6.</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4D03EB85" w14:textId="77777777" w:rsidR="00920A0A" w:rsidRDefault="00920A0A" w:rsidP="00920A0A">
            <w:r>
              <w:t xml:space="preserve">Will the ETP use leverage as part of its investment strategy? </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2A6F2489" w14:textId="77777777" w:rsidR="00920A0A" w:rsidRDefault="007E47F6" w:rsidP="00920A0A">
            <w:pPr>
              <w:rPr>
                <w:sz w:val="20"/>
                <w:szCs w:val="20"/>
              </w:rPr>
            </w:pPr>
            <w:sdt>
              <w:sdtPr>
                <w:rPr>
                  <w:sz w:val="20"/>
                  <w:szCs w:val="20"/>
                </w:rPr>
                <w:id w:val="330413326"/>
                <w14:checkbox>
                  <w14:checked w14:val="0"/>
                  <w14:checkedState w14:val="2612" w14:font="MS Gothic"/>
                  <w14:uncheckedState w14:val="2610" w14:font="MS Gothic"/>
                </w14:checkbox>
              </w:sdtPr>
              <w:sdtEndPr/>
              <w:sdtContent>
                <w:r w:rsidR="00920A0A">
                  <w:rPr>
                    <w:rFonts w:ascii="Segoe UI Symbol" w:hAnsi="Segoe UI Symbol"/>
                    <w:sz w:val="20"/>
                    <w:szCs w:val="20"/>
                  </w:rPr>
                  <w:t>☐</w:t>
                </w:r>
              </w:sdtContent>
            </w:sdt>
            <w:r w:rsidR="00920A0A">
              <w:rPr>
                <w:sz w:val="20"/>
                <w:szCs w:val="20"/>
              </w:rPr>
              <w:t xml:space="preserve"> Yes</w:t>
            </w:r>
          </w:p>
          <w:p w14:paraId="04D95FBC" w14:textId="77777777" w:rsidR="00920A0A" w:rsidRDefault="007E47F6" w:rsidP="00920A0A">
            <w:pPr>
              <w:rPr>
                <w:sz w:val="20"/>
                <w:szCs w:val="20"/>
              </w:rPr>
            </w:pPr>
            <w:sdt>
              <w:sdtPr>
                <w:rPr>
                  <w:sz w:val="20"/>
                  <w:szCs w:val="20"/>
                </w:rPr>
                <w:id w:val="1349913214"/>
                <w14:checkbox>
                  <w14:checked w14:val="0"/>
                  <w14:checkedState w14:val="2612" w14:font="MS Gothic"/>
                  <w14:uncheckedState w14:val="2610" w14:font="MS Gothic"/>
                </w14:checkbox>
              </w:sdtPr>
              <w:sdtEndPr/>
              <w:sdtContent>
                <w:r w:rsidR="00920A0A">
                  <w:rPr>
                    <w:rFonts w:ascii="Segoe UI Symbol" w:hAnsi="Segoe UI Symbol"/>
                    <w:sz w:val="20"/>
                    <w:szCs w:val="20"/>
                  </w:rPr>
                  <w:t>☐</w:t>
                </w:r>
              </w:sdtContent>
            </w:sdt>
            <w:r w:rsidR="00920A0A">
              <w:rPr>
                <w:sz w:val="20"/>
                <w:szCs w:val="20"/>
              </w:rPr>
              <w:t xml:space="preserve"> No</w:t>
            </w:r>
          </w:p>
          <w:p w14:paraId="223A591C" w14:textId="77777777" w:rsidR="00920A0A" w:rsidRDefault="00920A0A" w:rsidP="00920A0A"/>
          <w:p w14:paraId="33794849" w14:textId="7D828CF9" w:rsidR="00920A0A" w:rsidRDefault="00920A0A" w:rsidP="00920A0A">
            <w:r>
              <w:t>If the answer to this question is 'Yes', please provide the maximum amount of leverage permitted by the ETP.</w:t>
            </w:r>
          </w:p>
          <w:p w14:paraId="4ED6EC70" w14:textId="77777777" w:rsidR="00920A0A" w:rsidRDefault="00920A0A" w:rsidP="00920A0A"/>
          <w:p w14:paraId="047015C0" w14:textId="7689CA5A" w:rsidR="00920A0A" w:rsidRDefault="00920A0A" w:rsidP="00920A0A">
            <w:pPr>
              <w:pStyle w:val="ListParagraph"/>
              <w:numPr>
                <w:ilvl w:val="0"/>
                <w:numId w:val="40"/>
              </w:numPr>
            </w:pPr>
            <w:r>
              <w:t>[</w:t>
            </w:r>
            <w:r>
              <w:rPr>
                <w:color w:val="00B050"/>
              </w:rPr>
              <w:t>Insert maximum gross notional derivative exposure</w:t>
            </w:r>
            <w:r>
              <w:t>]</w:t>
            </w:r>
          </w:p>
        </w:tc>
      </w:tr>
      <w:tr w:rsidR="00920A0A" w14:paraId="734F3E91" w14:textId="77777777" w:rsidTr="006367B1">
        <w:tc>
          <w:tcPr>
            <w:tcW w:w="9618" w:type="dxa"/>
            <w:gridSpan w:val="3"/>
            <w:tcBorders>
              <w:top w:val="nil"/>
              <w:left w:val="single" w:sz="8" w:space="0" w:color="auto"/>
              <w:bottom w:val="single" w:sz="8" w:space="0" w:color="auto"/>
              <w:right w:val="single" w:sz="8" w:space="0" w:color="auto"/>
            </w:tcBorders>
            <w:shd w:val="clear" w:color="auto" w:fill="00B0F0"/>
            <w:tcMar>
              <w:top w:w="0" w:type="dxa"/>
              <w:left w:w="108" w:type="dxa"/>
              <w:bottom w:w="0" w:type="dxa"/>
              <w:right w:w="108" w:type="dxa"/>
            </w:tcMar>
            <w:hideMark/>
          </w:tcPr>
          <w:p w14:paraId="0730B9A9" w14:textId="77777777" w:rsidR="00920A0A" w:rsidRDefault="00920A0A" w:rsidP="00920A0A">
            <w:pPr>
              <w:rPr>
                <w:b/>
                <w:bCs/>
              </w:rPr>
            </w:pPr>
            <w:r>
              <w:rPr>
                <w:b/>
                <w:bCs/>
                <w:color w:val="FFFFFF"/>
              </w:rPr>
              <w:t>Section 4 - Liquidity arrangements</w:t>
            </w:r>
          </w:p>
        </w:tc>
      </w:tr>
      <w:tr w:rsidR="00920A0A" w14:paraId="0BD55338" w14:textId="77777777" w:rsidTr="006367B1">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202707" w14:textId="77777777" w:rsidR="00920A0A" w:rsidRDefault="00920A0A" w:rsidP="00920A0A">
            <w:r>
              <w:t>4.1.</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14:paraId="6686162D" w14:textId="77777777" w:rsidR="00920A0A" w:rsidRDefault="00920A0A" w:rsidP="00920A0A">
            <w:r>
              <w:t>Will the ETP use any of the following market-making arrangements?</w:t>
            </w:r>
          </w:p>
          <w:p w14:paraId="410DA5FF" w14:textId="77777777" w:rsidR="00920A0A" w:rsidRDefault="00920A0A" w:rsidP="00920A0A"/>
          <w:p w14:paraId="43A605D2" w14:textId="77777777" w:rsidR="00920A0A" w:rsidRDefault="00920A0A" w:rsidP="00920A0A">
            <w:pPr>
              <w:pStyle w:val="ListParagraph"/>
              <w:numPr>
                <w:ilvl w:val="0"/>
                <w:numId w:val="40"/>
              </w:numPr>
            </w:pPr>
            <w:r>
              <w:t>Material Portfolio Information (MPI) disclosure model</w:t>
            </w:r>
          </w:p>
          <w:p w14:paraId="533A2F7E" w14:textId="77777777" w:rsidR="00920A0A" w:rsidRDefault="00920A0A" w:rsidP="00920A0A">
            <w:pPr>
              <w:pStyle w:val="ListParagraph"/>
              <w:numPr>
                <w:ilvl w:val="0"/>
                <w:numId w:val="40"/>
              </w:numPr>
            </w:pPr>
            <w:r>
              <w:t>Internal market-making model</w:t>
            </w:r>
          </w:p>
          <w:p w14:paraId="7A3CC551" w14:textId="77777777" w:rsidR="00920A0A" w:rsidRDefault="00920A0A" w:rsidP="00920A0A"/>
          <w:p w14:paraId="022464DB" w14:textId="660BFDEA" w:rsidR="00920A0A" w:rsidRDefault="00920A0A" w:rsidP="00920A0A">
            <w:r>
              <w:t xml:space="preserve">For further information in regards to the above market-making models, please refer to </w:t>
            </w:r>
            <w:hyperlink r:id="rId17" w:history="1">
              <w:r w:rsidRPr="009E3D0F">
                <w:rPr>
                  <w:rStyle w:val="Hyperlink"/>
                  <w:color w:val="00B0F0"/>
                </w:rPr>
                <w:t>INFO 230</w:t>
              </w:r>
            </w:hyperlink>
            <w:r>
              <w:t>.</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493DD344" w14:textId="77777777" w:rsidR="00920A0A" w:rsidRDefault="007E47F6" w:rsidP="00920A0A">
            <w:pPr>
              <w:rPr>
                <w:sz w:val="20"/>
                <w:szCs w:val="20"/>
              </w:rPr>
            </w:pPr>
            <w:sdt>
              <w:sdtPr>
                <w:rPr>
                  <w:sz w:val="20"/>
                  <w:szCs w:val="20"/>
                </w:rPr>
                <w:id w:val="-1236623398"/>
                <w14:checkbox>
                  <w14:checked w14:val="0"/>
                  <w14:checkedState w14:val="2612" w14:font="MS Gothic"/>
                  <w14:uncheckedState w14:val="2610" w14:font="MS Gothic"/>
                </w14:checkbox>
              </w:sdtPr>
              <w:sdtEndPr/>
              <w:sdtContent>
                <w:r w:rsidR="00920A0A">
                  <w:rPr>
                    <w:rFonts w:ascii="Segoe UI Symbol" w:hAnsi="Segoe UI Symbol"/>
                    <w:sz w:val="20"/>
                    <w:szCs w:val="20"/>
                  </w:rPr>
                  <w:t>☐</w:t>
                </w:r>
              </w:sdtContent>
            </w:sdt>
            <w:r w:rsidR="00920A0A">
              <w:rPr>
                <w:sz w:val="20"/>
                <w:szCs w:val="20"/>
              </w:rPr>
              <w:t xml:space="preserve"> Yes</w:t>
            </w:r>
          </w:p>
          <w:p w14:paraId="63DEA9E6" w14:textId="77777777" w:rsidR="00920A0A" w:rsidRDefault="007E47F6" w:rsidP="00920A0A">
            <w:pPr>
              <w:rPr>
                <w:sz w:val="20"/>
                <w:szCs w:val="20"/>
              </w:rPr>
            </w:pPr>
            <w:sdt>
              <w:sdtPr>
                <w:rPr>
                  <w:sz w:val="20"/>
                  <w:szCs w:val="20"/>
                </w:rPr>
                <w:id w:val="-711569305"/>
                <w14:checkbox>
                  <w14:checked w14:val="0"/>
                  <w14:checkedState w14:val="2612" w14:font="MS Gothic"/>
                  <w14:uncheckedState w14:val="2610" w14:font="MS Gothic"/>
                </w14:checkbox>
              </w:sdtPr>
              <w:sdtEndPr/>
              <w:sdtContent>
                <w:r w:rsidR="00920A0A">
                  <w:rPr>
                    <w:rFonts w:ascii="Segoe UI Symbol" w:hAnsi="Segoe UI Symbol"/>
                    <w:sz w:val="20"/>
                    <w:szCs w:val="20"/>
                  </w:rPr>
                  <w:t>☐</w:t>
                </w:r>
              </w:sdtContent>
            </w:sdt>
            <w:r w:rsidR="00920A0A">
              <w:rPr>
                <w:sz w:val="20"/>
                <w:szCs w:val="20"/>
              </w:rPr>
              <w:t xml:space="preserve"> No</w:t>
            </w:r>
          </w:p>
          <w:p w14:paraId="7028D75C" w14:textId="77777777" w:rsidR="00920A0A" w:rsidRDefault="00920A0A" w:rsidP="00920A0A"/>
          <w:p w14:paraId="69DAD975" w14:textId="1496F2A9" w:rsidR="00920A0A" w:rsidRDefault="00920A0A" w:rsidP="00920A0A">
            <w:r>
              <w:t>If the answer to this question is 'Yes', upon formal application ASX will assess if the chosen market-making model complies with INFO 230. Additionally, in the formal application ASX will require details of the market-making parameters, such as the maximum spread and minimum quantity.</w:t>
            </w:r>
          </w:p>
        </w:tc>
      </w:tr>
      <w:tr w:rsidR="00920A0A" w14:paraId="4B12D84B" w14:textId="77777777" w:rsidTr="006367B1">
        <w:tc>
          <w:tcPr>
            <w:tcW w:w="9618" w:type="dxa"/>
            <w:gridSpan w:val="3"/>
            <w:tcBorders>
              <w:top w:val="nil"/>
              <w:left w:val="single" w:sz="8" w:space="0" w:color="auto"/>
              <w:bottom w:val="single" w:sz="8" w:space="0" w:color="auto"/>
              <w:right w:val="single" w:sz="8" w:space="0" w:color="auto"/>
            </w:tcBorders>
            <w:shd w:val="clear" w:color="auto" w:fill="00B0F0"/>
            <w:tcMar>
              <w:top w:w="0" w:type="dxa"/>
              <w:left w:w="108" w:type="dxa"/>
              <w:bottom w:w="0" w:type="dxa"/>
              <w:right w:w="108" w:type="dxa"/>
            </w:tcMar>
            <w:hideMark/>
          </w:tcPr>
          <w:p w14:paraId="11E64C89" w14:textId="77777777" w:rsidR="00920A0A" w:rsidRDefault="00920A0A" w:rsidP="00920A0A">
            <w:pPr>
              <w:rPr>
                <w:b/>
                <w:bCs/>
              </w:rPr>
            </w:pPr>
            <w:r>
              <w:rPr>
                <w:b/>
                <w:bCs/>
                <w:color w:val="FFFFFF"/>
              </w:rPr>
              <w:t>Section 5 - Disclosure</w:t>
            </w:r>
          </w:p>
        </w:tc>
      </w:tr>
      <w:tr w:rsidR="00920A0A" w14:paraId="126ABF90" w14:textId="77777777" w:rsidTr="006367B1">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09BC0" w14:textId="77777777" w:rsidR="00920A0A" w:rsidRDefault="00920A0A" w:rsidP="00920A0A">
            <w:r>
              <w:t>5.1.</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0B63DAD0" w14:textId="77777777" w:rsidR="00920A0A" w:rsidRDefault="00920A0A" w:rsidP="00920A0A">
            <w:r>
              <w:t>Will the ETP disclose its portfolio on a daily basis?</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10CE0AAC" w14:textId="77777777" w:rsidR="00920A0A" w:rsidRDefault="007E47F6" w:rsidP="00920A0A">
            <w:pPr>
              <w:rPr>
                <w:sz w:val="20"/>
                <w:szCs w:val="20"/>
              </w:rPr>
            </w:pPr>
            <w:sdt>
              <w:sdtPr>
                <w:rPr>
                  <w:sz w:val="20"/>
                  <w:szCs w:val="20"/>
                </w:rPr>
                <w:id w:val="-1522237555"/>
                <w14:checkbox>
                  <w14:checked w14:val="0"/>
                  <w14:checkedState w14:val="2612" w14:font="MS Gothic"/>
                  <w14:uncheckedState w14:val="2610" w14:font="MS Gothic"/>
                </w14:checkbox>
              </w:sdtPr>
              <w:sdtEndPr/>
              <w:sdtContent>
                <w:r w:rsidR="00920A0A">
                  <w:rPr>
                    <w:rFonts w:ascii="Segoe UI Symbol" w:hAnsi="Segoe UI Symbol"/>
                    <w:sz w:val="20"/>
                    <w:szCs w:val="20"/>
                  </w:rPr>
                  <w:t>☐</w:t>
                </w:r>
              </w:sdtContent>
            </w:sdt>
            <w:r w:rsidR="00920A0A">
              <w:rPr>
                <w:sz w:val="20"/>
                <w:szCs w:val="20"/>
              </w:rPr>
              <w:t xml:space="preserve"> Yes</w:t>
            </w:r>
          </w:p>
          <w:p w14:paraId="75492704" w14:textId="5966653F" w:rsidR="00920A0A" w:rsidRPr="006367B1" w:rsidRDefault="007E47F6" w:rsidP="00920A0A">
            <w:pPr>
              <w:rPr>
                <w:sz w:val="20"/>
                <w:szCs w:val="20"/>
              </w:rPr>
            </w:pPr>
            <w:sdt>
              <w:sdtPr>
                <w:rPr>
                  <w:sz w:val="20"/>
                  <w:szCs w:val="20"/>
                </w:rPr>
                <w:id w:val="-1438210045"/>
                <w14:checkbox>
                  <w14:checked w14:val="0"/>
                  <w14:checkedState w14:val="2612" w14:font="MS Gothic"/>
                  <w14:uncheckedState w14:val="2610" w14:font="MS Gothic"/>
                </w14:checkbox>
              </w:sdtPr>
              <w:sdtEndPr/>
              <w:sdtContent>
                <w:r w:rsidR="00920A0A">
                  <w:rPr>
                    <w:rFonts w:ascii="Segoe UI Symbol" w:hAnsi="Segoe UI Symbol"/>
                    <w:sz w:val="20"/>
                    <w:szCs w:val="20"/>
                  </w:rPr>
                  <w:t>☐</w:t>
                </w:r>
              </w:sdtContent>
            </w:sdt>
            <w:r w:rsidR="00920A0A">
              <w:rPr>
                <w:sz w:val="20"/>
                <w:szCs w:val="20"/>
              </w:rPr>
              <w:t xml:space="preserve"> No, </w:t>
            </w:r>
            <w:r w:rsidR="00920A0A">
              <w:t>please answer Question 5.2.</w:t>
            </w:r>
          </w:p>
        </w:tc>
      </w:tr>
      <w:tr w:rsidR="00920A0A" w14:paraId="17628D6E" w14:textId="77777777" w:rsidTr="006367B1">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3BB93" w14:textId="77777777" w:rsidR="00920A0A" w:rsidRDefault="00920A0A" w:rsidP="00920A0A">
            <w:r>
              <w:t>5.2.</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14:paraId="557FBC16" w14:textId="77777777" w:rsidR="00920A0A" w:rsidRDefault="00920A0A" w:rsidP="00920A0A">
            <w:r>
              <w:t>If the Fund proposes to disclose its portfolio on a delayed basis, does the ETP meet one or more of the following criteria?</w:t>
            </w:r>
          </w:p>
          <w:p w14:paraId="205F6EFC" w14:textId="77777777" w:rsidR="00920A0A" w:rsidRDefault="00920A0A" w:rsidP="00920A0A"/>
          <w:p w14:paraId="08318EF8" w14:textId="77777777" w:rsidR="00920A0A" w:rsidRDefault="00920A0A" w:rsidP="00920A0A">
            <w:pPr>
              <w:pStyle w:val="ListParagraph"/>
              <w:numPr>
                <w:ilvl w:val="0"/>
                <w:numId w:val="40"/>
              </w:numPr>
            </w:pPr>
            <w:r>
              <w:t>Delayed disclosure is required to protect the intellectual property of the Issuer.</w:t>
            </w:r>
          </w:p>
          <w:p w14:paraId="70467644" w14:textId="77777777" w:rsidR="00920A0A" w:rsidRDefault="00920A0A" w:rsidP="00920A0A">
            <w:pPr>
              <w:pStyle w:val="ListParagraph"/>
              <w:numPr>
                <w:ilvl w:val="0"/>
                <w:numId w:val="40"/>
              </w:numPr>
            </w:pPr>
            <w:r>
              <w:t>The ETP holds a concentrated portfolio of equity Underlying Instruments.</w:t>
            </w:r>
          </w:p>
          <w:p w14:paraId="164CF8B9" w14:textId="05FE73C0" w:rsidR="00920A0A" w:rsidRDefault="00920A0A" w:rsidP="006367B1">
            <w:pPr>
              <w:pStyle w:val="ListParagraph"/>
              <w:numPr>
                <w:ilvl w:val="0"/>
                <w:numId w:val="40"/>
              </w:numPr>
            </w:pPr>
            <w:r>
              <w:t>Delayed disclosure is permitted for ETPs that use the MPI disclosure model.</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21EE947F" w14:textId="77777777" w:rsidR="00920A0A" w:rsidRDefault="007E47F6" w:rsidP="00920A0A">
            <w:pPr>
              <w:rPr>
                <w:sz w:val="20"/>
                <w:szCs w:val="20"/>
              </w:rPr>
            </w:pPr>
            <w:sdt>
              <w:sdtPr>
                <w:rPr>
                  <w:sz w:val="20"/>
                  <w:szCs w:val="20"/>
                </w:rPr>
                <w:id w:val="-120846831"/>
                <w14:checkbox>
                  <w14:checked w14:val="0"/>
                  <w14:checkedState w14:val="2612" w14:font="MS Gothic"/>
                  <w14:uncheckedState w14:val="2610" w14:font="MS Gothic"/>
                </w14:checkbox>
              </w:sdtPr>
              <w:sdtEndPr/>
              <w:sdtContent>
                <w:r w:rsidR="00920A0A">
                  <w:rPr>
                    <w:rFonts w:ascii="Segoe UI Symbol" w:hAnsi="Segoe UI Symbol"/>
                    <w:sz w:val="20"/>
                    <w:szCs w:val="20"/>
                  </w:rPr>
                  <w:t>☐</w:t>
                </w:r>
              </w:sdtContent>
            </w:sdt>
            <w:r w:rsidR="00920A0A">
              <w:rPr>
                <w:sz w:val="20"/>
                <w:szCs w:val="20"/>
              </w:rPr>
              <w:t xml:space="preserve"> Yes</w:t>
            </w:r>
          </w:p>
          <w:p w14:paraId="58C383F5" w14:textId="77777777" w:rsidR="00920A0A" w:rsidRDefault="007E47F6" w:rsidP="00920A0A">
            <w:pPr>
              <w:rPr>
                <w:sz w:val="20"/>
                <w:szCs w:val="20"/>
              </w:rPr>
            </w:pPr>
            <w:sdt>
              <w:sdtPr>
                <w:rPr>
                  <w:sz w:val="20"/>
                  <w:szCs w:val="20"/>
                </w:rPr>
                <w:id w:val="-46540117"/>
                <w14:checkbox>
                  <w14:checked w14:val="0"/>
                  <w14:checkedState w14:val="2612" w14:font="MS Gothic"/>
                  <w14:uncheckedState w14:val="2610" w14:font="MS Gothic"/>
                </w14:checkbox>
              </w:sdtPr>
              <w:sdtEndPr/>
              <w:sdtContent>
                <w:r w:rsidR="00920A0A">
                  <w:rPr>
                    <w:rFonts w:ascii="Segoe UI Symbol" w:hAnsi="Segoe UI Symbol"/>
                    <w:sz w:val="20"/>
                    <w:szCs w:val="20"/>
                  </w:rPr>
                  <w:t>☐</w:t>
                </w:r>
              </w:sdtContent>
            </w:sdt>
            <w:r w:rsidR="00920A0A">
              <w:rPr>
                <w:sz w:val="20"/>
                <w:szCs w:val="20"/>
              </w:rPr>
              <w:t xml:space="preserve"> No</w:t>
            </w:r>
          </w:p>
          <w:p w14:paraId="5FAA3434" w14:textId="77777777" w:rsidR="00920A0A" w:rsidRDefault="00920A0A" w:rsidP="00920A0A"/>
          <w:p w14:paraId="1FA1A5CE" w14:textId="77777777" w:rsidR="00920A0A" w:rsidRDefault="00920A0A" w:rsidP="00920A0A">
            <w:r>
              <w:t>If the answer is 'No', delayed disclosure may not be appropriate for the ETP.</w:t>
            </w:r>
          </w:p>
        </w:tc>
      </w:tr>
    </w:tbl>
    <w:p w14:paraId="3AD87447" w14:textId="6321145F" w:rsidR="008756CC" w:rsidRDefault="008756CC" w:rsidP="000672C4">
      <w:pPr>
        <w:pStyle w:val="TableText"/>
      </w:pPr>
    </w:p>
    <w:p w14:paraId="07176BAA" w14:textId="1467367A" w:rsidR="006F267D" w:rsidRDefault="006F267D" w:rsidP="000672C4">
      <w:pPr>
        <w:pStyle w:val="TableText"/>
      </w:pPr>
    </w:p>
    <w:p w14:paraId="56A1B046" w14:textId="13F451FD" w:rsidR="0031185E" w:rsidRDefault="0031185E" w:rsidP="000672C4">
      <w:pPr>
        <w:pStyle w:val="TableText"/>
      </w:pPr>
    </w:p>
    <w:p w14:paraId="1EFA013F" w14:textId="780E9969" w:rsidR="0031185E" w:rsidRDefault="0031185E" w:rsidP="000672C4">
      <w:pPr>
        <w:pStyle w:val="TableText"/>
      </w:pPr>
    </w:p>
    <w:p w14:paraId="632054F1" w14:textId="6A678EDE" w:rsidR="0031185E" w:rsidRDefault="0031185E" w:rsidP="000672C4">
      <w:pPr>
        <w:pStyle w:val="TableText"/>
      </w:pPr>
    </w:p>
    <w:p w14:paraId="21E0DB61" w14:textId="4A4CCDF6" w:rsidR="0031185E" w:rsidRDefault="0031185E" w:rsidP="000672C4">
      <w:pPr>
        <w:pStyle w:val="TableText"/>
      </w:pPr>
    </w:p>
    <w:p w14:paraId="7F863945" w14:textId="5B500347" w:rsidR="0031185E" w:rsidRDefault="0031185E" w:rsidP="000672C4">
      <w:pPr>
        <w:pStyle w:val="TableText"/>
      </w:pPr>
    </w:p>
    <w:p w14:paraId="279A9456" w14:textId="70395D0A" w:rsidR="0031185E" w:rsidRDefault="0031185E" w:rsidP="000672C4">
      <w:pPr>
        <w:pStyle w:val="TableText"/>
      </w:pPr>
    </w:p>
    <w:p w14:paraId="63B33281" w14:textId="6CA57207" w:rsidR="0031185E" w:rsidRDefault="0031185E" w:rsidP="000672C4">
      <w:pPr>
        <w:pStyle w:val="TableText"/>
      </w:pPr>
    </w:p>
    <w:p w14:paraId="2214575A" w14:textId="0167E540" w:rsidR="0031185E" w:rsidRDefault="0031185E" w:rsidP="000672C4">
      <w:pPr>
        <w:pStyle w:val="TableText"/>
      </w:pPr>
    </w:p>
    <w:p w14:paraId="09D27BA8" w14:textId="6ADE805F" w:rsidR="0031185E" w:rsidRDefault="0031185E" w:rsidP="000672C4">
      <w:pPr>
        <w:pStyle w:val="TableText"/>
      </w:pPr>
    </w:p>
    <w:p w14:paraId="74EFA585" w14:textId="28ADE238" w:rsidR="0031185E" w:rsidRDefault="0031185E" w:rsidP="000672C4">
      <w:pPr>
        <w:pStyle w:val="TableText"/>
      </w:pPr>
    </w:p>
    <w:p w14:paraId="31CC3E69" w14:textId="0383013D" w:rsidR="0031185E" w:rsidRDefault="0031185E" w:rsidP="000672C4">
      <w:pPr>
        <w:pStyle w:val="TableText"/>
      </w:pPr>
    </w:p>
    <w:p w14:paraId="53D33263" w14:textId="6840E6C4" w:rsidR="0031185E" w:rsidRDefault="0031185E" w:rsidP="000672C4">
      <w:pPr>
        <w:pStyle w:val="TableText"/>
      </w:pPr>
    </w:p>
    <w:p w14:paraId="1CE1CF23" w14:textId="1DD434B4" w:rsidR="0031185E" w:rsidRDefault="0031185E" w:rsidP="000672C4">
      <w:pPr>
        <w:pStyle w:val="TableText"/>
      </w:pPr>
    </w:p>
    <w:p w14:paraId="70F69FB3" w14:textId="40598CB7" w:rsidR="0031185E" w:rsidRDefault="0031185E" w:rsidP="000672C4">
      <w:pPr>
        <w:pStyle w:val="TableText"/>
      </w:pPr>
    </w:p>
    <w:p w14:paraId="46781788" w14:textId="082B8816" w:rsidR="0031185E" w:rsidRDefault="0031185E" w:rsidP="000672C4">
      <w:pPr>
        <w:pStyle w:val="TableText"/>
      </w:pPr>
    </w:p>
    <w:p w14:paraId="09107901" w14:textId="57FEDA01" w:rsidR="0031185E" w:rsidRDefault="0031185E" w:rsidP="000672C4">
      <w:pPr>
        <w:pStyle w:val="TableText"/>
      </w:pPr>
    </w:p>
    <w:p w14:paraId="66FE2C81" w14:textId="3FFE5064" w:rsidR="0031185E" w:rsidRDefault="0031185E" w:rsidP="000672C4">
      <w:pPr>
        <w:pStyle w:val="TableText"/>
      </w:pPr>
    </w:p>
    <w:p w14:paraId="2D3653CD" w14:textId="0F44F690" w:rsidR="004D545E" w:rsidRPr="009E3D0F" w:rsidRDefault="004D545E" w:rsidP="000672C4">
      <w:pPr>
        <w:pStyle w:val="TableText"/>
        <w:rPr>
          <w:b/>
          <w:sz w:val="28"/>
          <w:szCs w:val="28"/>
          <w:u w:val="single"/>
        </w:rPr>
      </w:pPr>
      <w:r w:rsidRPr="009E3D0F">
        <w:rPr>
          <w:b/>
          <w:sz w:val="28"/>
          <w:szCs w:val="28"/>
          <w:u w:val="single"/>
        </w:rPr>
        <w:t>Appendix A</w:t>
      </w:r>
    </w:p>
    <w:p w14:paraId="71990643" w14:textId="1839B2A5" w:rsidR="006F267D" w:rsidRPr="009E3D0F" w:rsidRDefault="006F267D" w:rsidP="000672C4">
      <w:pPr>
        <w:pStyle w:val="TableText"/>
        <w:rPr>
          <w:b/>
        </w:rPr>
      </w:pPr>
      <w:r w:rsidRPr="009E3D0F">
        <w:rPr>
          <w:b/>
        </w:rPr>
        <w:t>ASX Operating Rules Schedule 10A.3.3(c)</w:t>
      </w:r>
    </w:p>
    <w:p w14:paraId="58D55582" w14:textId="67793034" w:rsidR="006F267D" w:rsidRPr="009E3D0F" w:rsidRDefault="004D545E" w:rsidP="006F267D">
      <w:pPr>
        <w:tabs>
          <w:tab w:val="left" w:pos="1701"/>
        </w:tabs>
        <w:overflowPunct w:val="0"/>
        <w:autoSpaceDE w:val="0"/>
        <w:autoSpaceDN w:val="0"/>
        <w:adjustRightInd w:val="0"/>
        <w:spacing w:before="120" w:after="120"/>
        <w:ind w:left="1702" w:hanging="851"/>
        <w:textAlignment w:val="baseline"/>
        <w:rPr>
          <w:rFonts w:eastAsia="Times New Roman"/>
          <w:iCs/>
          <w:sz w:val="20"/>
          <w:szCs w:val="20"/>
        </w:rPr>
      </w:pPr>
      <w:r w:rsidRPr="004D545E">
        <w:rPr>
          <w:rFonts w:eastAsia="Times New Roman"/>
          <w:iCs/>
          <w:sz w:val="18"/>
          <w:szCs w:val="18"/>
        </w:rPr>
        <w:t xml:space="preserve"> </w:t>
      </w:r>
      <w:r w:rsidR="006F267D" w:rsidRPr="009E3D0F">
        <w:rPr>
          <w:rFonts w:eastAsia="Times New Roman"/>
          <w:iCs/>
          <w:sz w:val="18"/>
          <w:szCs w:val="18"/>
        </w:rPr>
        <w:t>(c)</w:t>
      </w:r>
      <w:r w:rsidR="006F267D" w:rsidRPr="009E3D0F">
        <w:rPr>
          <w:rFonts w:eastAsia="Times New Roman"/>
          <w:iCs/>
          <w:sz w:val="18"/>
          <w:szCs w:val="18"/>
        </w:rPr>
        <w:tab/>
      </w:r>
      <w:r w:rsidR="006F267D" w:rsidRPr="009E3D0F">
        <w:rPr>
          <w:rFonts w:eastAsia="Times New Roman"/>
          <w:iCs/>
          <w:sz w:val="20"/>
          <w:szCs w:val="20"/>
        </w:rPr>
        <w:t>the capital value or distributions of the Financial Product must be linked to Underlying Instruments which are:</w:t>
      </w:r>
    </w:p>
    <w:p w14:paraId="0B3E3AA4" w14:textId="77777777" w:rsidR="006F267D" w:rsidRPr="009E3D0F" w:rsidRDefault="006F267D" w:rsidP="006F267D">
      <w:pPr>
        <w:tabs>
          <w:tab w:val="left" w:pos="2268"/>
        </w:tabs>
        <w:spacing w:before="120" w:after="120"/>
        <w:ind w:left="2268" w:hanging="567"/>
        <w:rPr>
          <w:rFonts w:eastAsia="Times New Roman"/>
          <w:sz w:val="20"/>
          <w:szCs w:val="20"/>
        </w:rPr>
      </w:pPr>
      <w:r w:rsidRPr="009E3D0F">
        <w:rPr>
          <w:rFonts w:eastAsia="Times New Roman"/>
          <w:sz w:val="20"/>
          <w:szCs w:val="20"/>
        </w:rPr>
        <w:t>(i)</w:t>
      </w:r>
      <w:r w:rsidRPr="009E3D0F">
        <w:rPr>
          <w:rFonts w:eastAsia="Times New Roman"/>
          <w:sz w:val="20"/>
          <w:szCs w:val="20"/>
        </w:rPr>
        <w:tab/>
        <w:t>securities, derivatives, debentures, bonds or other Financial Products that are admitted to trading on:</w:t>
      </w:r>
    </w:p>
    <w:p w14:paraId="6D5C53F5" w14:textId="77777777" w:rsidR="006F267D" w:rsidRPr="009E3D0F" w:rsidRDefault="006F267D" w:rsidP="006F267D">
      <w:pPr>
        <w:tabs>
          <w:tab w:val="left" w:pos="2835"/>
        </w:tabs>
        <w:spacing w:before="120" w:after="120"/>
        <w:ind w:left="2835" w:hanging="567"/>
        <w:rPr>
          <w:rFonts w:eastAsia="Times New Roman"/>
          <w:sz w:val="20"/>
          <w:szCs w:val="20"/>
        </w:rPr>
      </w:pPr>
      <w:r w:rsidRPr="009E3D0F">
        <w:rPr>
          <w:rFonts w:eastAsia="Times New Roman"/>
          <w:sz w:val="20"/>
          <w:szCs w:val="20"/>
        </w:rPr>
        <w:t>(A)</w:t>
      </w:r>
      <w:r w:rsidRPr="009E3D0F">
        <w:rPr>
          <w:rFonts w:eastAsia="Times New Roman"/>
          <w:sz w:val="20"/>
          <w:szCs w:val="20"/>
        </w:rPr>
        <w:tab/>
        <w:t>the Market;</w:t>
      </w:r>
    </w:p>
    <w:p w14:paraId="0A0DC88E" w14:textId="1AEEE528" w:rsidR="006F267D" w:rsidRPr="009E3D0F" w:rsidRDefault="006F267D" w:rsidP="006F267D">
      <w:pPr>
        <w:tabs>
          <w:tab w:val="left" w:pos="2268"/>
          <w:tab w:val="left" w:pos="2835"/>
        </w:tabs>
        <w:spacing w:before="120" w:after="120"/>
        <w:ind w:left="2835" w:hanging="567"/>
        <w:rPr>
          <w:rFonts w:eastAsia="Times New Roman"/>
          <w:sz w:val="20"/>
          <w:szCs w:val="20"/>
        </w:rPr>
      </w:pPr>
      <w:r w:rsidRPr="009E3D0F">
        <w:rPr>
          <w:rFonts w:eastAsia="Times New Roman"/>
          <w:sz w:val="20"/>
          <w:szCs w:val="20"/>
        </w:rPr>
        <w:t>(B)</w:t>
      </w:r>
      <w:r w:rsidRPr="009E3D0F">
        <w:rPr>
          <w:rFonts w:eastAsia="Times New Roman"/>
          <w:sz w:val="20"/>
          <w:szCs w:val="20"/>
        </w:rPr>
        <w:tab/>
        <w:t>a Non-ASX Market that is specified in the Procedures</w:t>
      </w:r>
      <w:r w:rsidR="009C3BA6" w:rsidRPr="009E3D0F">
        <w:rPr>
          <w:rStyle w:val="FootnoteReference"/>
          <w:rFonts w:eastAsia="Times New Roman"/>
          <w:sz w:val="20"/>
          <w:szCs w:val="20"/>
        </w:rPr>
        <w:footnoteReference w:id="3"/>
      </w:r>
      <w:r w:rsidRPr="009E3D0F">
        <w:rPr>
          <w:rFonts w:eastAsia="Times New Roman"/>
          <w:sz w:val="20"/>
          <w:szCs w:val="20"/>
        </w:rPr>
        <w:t>; or</w:t>
      </w:r>
    </w:p>
    <w:p w14:paraId="4DD3AE73" w14:textId="77777777" w:rsidR="006F267D" w:rsidRPr="009E3D0F" w:rsidRDefault="006F267D" w:rsidP="006F267D">
      <w:pPr>
        <w:tabs>
          <w:tab w:val="left" w:pos="2835"/>
        </w:tabs>
        <w:spacing w:before="120" w:after="120"/>
        <w:ind w:left="2835" w:hanging="567"/>
        <w:rPr>
          <w:rFonts w:eastAsia="Times New Roman"/>
          <w:sz w:val="20"/>
          <w:szCs w:val="20"/>
        </w:rPr>
      </w:pPr>
      <w:r w:rsidRPr="009E3D0F">
        <w:rPr>
          <w:rFonts w:eastAsia="Times New Roman"/>
          <w:sz w:val="20"/>
          <w:szCs w:val="20"/>
        </w:rPr>
        <w:t>(C)</w:t>
      </w:r>
      <w:r w:rsidRPr="009E3D0F">
        <w:rPr>
          <w:rFonts w:eastAsia="Times New Roman"/>
          <w:sz w:val="20"/>
          <w:szCs w:val="20"/>
        </w:rPr>
        <w:tab/>
        <w:t>any other Non-ASX Market where ASX is satisfied that:</w:t>
      </w:r>
    </w:p>
    <w:p w14:paraId="4CD85AD4" w14:textId="77777777" w:rsidR="006F267D" w:rsidRPr="009E3D0F" w:rsidRDefault="006F267D" w:rsidP="006F267D">
      <w:pPr>
        <w:tabs>
          <w:tab w:val="left" w:pos="3402"/>
        </w:tabs>
        <w:spacing w:before="120" w:after="120"/>
        <w:ind w:left="3402" w:hanging="567"/>
        <w:rPr>
          <w:rFonts w:eastAsia="Times New Roman"/>
          <w:color w:val="000000"/>
          <w:sz w:val="20"/>
          <w:szCs w:val="20"/>
        </w:rPr>
      </w:pPr>
      <w:r w:rsidRPr="009E3D0F">
        <w:rPr>
          <w:rFonts w:eastAsia="Times New Roman"/>
          <w:color w:val="000000"/>
          <w:sz w:val="20"/>
          <w:szCs w:val="20"/>
        </w:rPr>
        <w:t>(i)</w:t>
      </w:r>
      <w:r w:rsidRPr="009E3D0F">
        <w:rPr>
          <w:rFonts w:eastAsia="Times New Roman"/>
          <w:color w:val="000000"/>
          <w:sz w:val="20"/>
          <w:szCs w:val="20"/>
        </w:rPr>
        <w:tab/>
        <w:t>the Non-ASX Market is subject to regulation that is at least equivalent to the regulation of a market operator licenced under section 795B(1) of the Corporations Act; and</w:t>
      </w:r>
    </w:p>
    <w:p w14:paraId="232143D2" w14:textId="77777777" w:rsidR="006F267D" w:rsidRPr="009E3D0F" w:rsidRDefault="006F267D" w:rsidP="006F267D">
      <w:pPr>
        <w:tabs>
          <w:tab w:val="left" w:pos="3402"/>
        </w:tabs>
        <w:spacing w:before="120" w:after="120"/>
        <w:ind w:left="3402" w:hanging="567"/>
        <w:rPr>
          <w:rFonts w:eastAsia="Times New Roman"/>
          <w:color w:val="000000"/>
          <w:sz w:val="20"/>
          <w:szCs w:val="20"/>
        </w:rPr>
      </w:pPr>
      <w:r w:rsidRPr="009E3D0F">
        <w:rPr>
          <w:rFonts w:eastAsia="Times New Roman"/>
          <w:color w:val="000000"/>
          <w:sz w:val="20"/>
          <w:szCs w:val="20"/>
        </w:rPr>
        <w:t>(ii)</w:t>
      </w:r>
      <w:r w:rsidRPr="009E3D0F">
        <w:rPr>
          <w:rFonts w:eastAsia="Times New Roman"/>
          <w:color w:val="000000"/>
          <w:sz w:val="20"/>
          <w:szCs w:val="20"/>
        </w:rPr>
        <w:tab/>
        <w:t>the Underlying Instrument is subject to substantially equivalent disclosure requirements to those which would apply if the Underlying Instrument were admitted to trading on the Market;</w:t>
      </w:r>
    </w:p>
    <w:p w14:paraId="4E3389BC" w14:textId="77777777" w:rsidR="006F267D" w:rsidRPr="009E3D0F" w:rsidRDefault="006F267D" w:rsidP="006F267D">
      <w:pPr>
        <w:tabs>
          <w:tab w:val="left" w:pos="2268"/>
        </w:tabs>
        <w:spacing w:before="120" w:after="120"/>
        <w:ind w:left="2268" w:hanging="567"/>
        <w:rPr>
          <w:rFonts w:eastAsia="Times New Roman"/>
          <w:sz w:val="20"/>
          <w:szCs w:val="20"/>
        </w:rPr>
      </w:pPr>
      <w:r w:rsidRPr="009E3D0F">
        <w:rPr>
          <w:rFonts w:eastAsia="Times New Roman"/>
          <w:sz w:val="20"/>
          <w:szCs w:val="20"/>
        </w:rPr>
        <w:tab/>
        <w:t>Note: To avoid doubt, a Crypto-asset that is a security, derivative, debenture, bond or other Financial Product and that meets the requirements of sub-paragraph (i) above may be admitted as an Approved AQUA Product under that sub-paragraph rather than as an Eligible Crypto-asset under sub-paragraph (v) below.</w:t>
      </w:r>
    </w:p>
    <w:p w14:paraId="2A37BED9" w14:textId="77777777" w:rsidR="006F267D" w:rsidRPr="009E3D0F" w:rsidRDefault="006F267D" w:rsidP="006F267D">
      <w:pPr>
        <w:tabs>
          <w:tab w:val="left" w:pos="2268"/>
        </w:tabs>
        <w:spacing w:before="120" w:after="120"/>
        <w:ind w:left="2268" w:hanging="567"/>
        <w:rPr>
          <w:rFonts w:eastAsia="Times New Roman"/>
          <w:sz w:val="20"/>
          <w:szCs w:val="20"/>
        </w:rPr>
      </w:pPr>
      <w:r w:rsidRPr="009E3D0F">
        <w:rPr>
          <w:rFonts w:eastAsia="Times New Roman"/>
          <w:sz w:val="20"/>
          <w:szCs w:val="20"/>
        </w:rPr>
        <w:t>(ii)</w:t>
      </w:r>
      <w:r w:rsidRPr="009E3D0F">
        <w:rPr>
          <w:rFonts w:eastAsia="Times New Roman"/>
          <w:sz w:val="20"/>
          <w:szCs w:val="20"/>
        </w:rPr>
        <w:tab/>
        <w:t>debentures, bonds, deposit products or Money Market Instruments that are:</w:t>
      </w:r>
    </w:p>
    <w:p w14:paraId="37A16499" w14:textId="194C7193" w:rsidR="006F267D" w:rsidRPr="009E3D0F" w:rsidRDefault="006F267D" w:rsidP="006F267D">
      <w:pPr>
        <w:tabs>
          <w:tab w:val="left" w:pos="2835"/>
        </w:tabs>
        <w:spacing w:before="120" w:after="120"/>
        <w:ind w:left="2835" w:hanging="567"/>
        <w:rPr>
          <w:rFonts w:eastAsia="Times New Roman"/>
          <w:sz w:val="20"/>
          <w:szCs w:val="20"/>
        </w:rPr>
      </w:pPr>
      <w:r w:rsidRPr="009E3D0F">
        <w:rPr>
          <w:rFonts w:eastAsia="Times New Roman"/>
          <w:sz w:val="20"/>
          <w:szCs w:val="20"/>
        </w:rPr>
        <w:t>(A)</w:t>
      </w:r>
      <w:r w:rsidRPr="009E3D0F">
        <w:rPr>
          <w:rFonts w:eastAsia="Times New Roman"/>
          <w:sz w:val="20"/>
          <w:szCs w:val="20"/>
        </w:rPr>
        <w:tab/>
        <w:t>included in an index specified in the Procedures</w:t>
      </w:r>
      <w:r w:rsidR="00C74246" w:rsidRPr="009E3D0F">
        <w:rPr>
          <w:rStyle w:val="FootnoteReference"/>
          <w:rFonts w:eastAsia="Times New Roman"/>
          <w:sz w:val="20"/>
          <w:szCs w:val="20"/>
        </w:rPr>
        <w:footnoteReference w:id="4"/>
      </w:r>
      <w:r w:rsidRPr="009E3D0F">
        <w:rPr>
          <w:rFonts w:eastAsia="Times New Roman"/>
          <w:sz w:val="20"/>
          <w:szCs w:val="20"/>
        </w:rPr>
        <w:t>; or</w:t>
      </w:r>
    </w:p>
    <w:p w14:paraId="459D0C49" w14:textId="0EFEB752" w:rsidR="006F267D" w:rsidRPr="009E3D0F" w:rsidRDefault="006F267D" w:rsidP="006F267D">
      <w:pPr>
        <w:tabs>
          <w:tab w:val="left" w:pos="2835"/>
        </w:tabs>
        <w:spacing w:before="120" w:after="120"/>
        <w:ind w:left="2835" w:hanging="567"/>
        <w:rPr>
          <w:rFonts w:eastAsia="Times New Roman"/>
          <w:sz w:val="20"/>
          <w:szCs w:val="20"/>
        </w:rPr>
      </w:pPr>
      <w:r w:rsidRPr="009E3D0F">
        <w:rPr>
          <w:rFonts w:eastAsia="Times New Roman"/>
          <w:sz w:val="20"/>
          <w:szCs w:val="20"/>
        </w:rPr>
        <w:t>(B)</w:t>
      </w:r>
      <w:r w:rsidRPr="009E3D0F">
        <w:rPr>
          <w:rFonts w:eastAsia="Times New Roman"/>
          <w:sz w:val="20"/>
          <w:szCs w:val="20"/>
        </w:rPr>
        <w:tab/>
        <w:t>issued or guaranteed by a government or by an entity of a type specified in the Procedures</w:t>
      </w:r>
      <w:r w:rsidR="00C74246" w:rsidRPr="009E3D0F">
        <w:rPr>
          <w:rStyle w:val="FootnoteReference"/>
          <w:rFonts w:eastAsia="Times New Roman"/>
          <w:sz w:val="20"/>
          <w:szCs w:val="20"/>
        </w:rPr>
        <w:footnoteReference w:id="5"/>
      </w:r>
      <w:r w:rsidRPr="009E3D0F">
        <w:rPr>
          <w:rFonts w:eastAsia="Times New Roman"/>
          <w:sz w:val="20"/>
          <w:szCs w:val="20"/>
        </w:rPr>
        <w:t xml:space="preserve"> and in respect of which ASX is satisfied that Relevant Authorised Participants and AQUA Market Makers have sufficient information available in a timely manner to enable them to reliably determine prices at which the debentures, bonds, deposit products or Money Market Instruments are bought or sold;</w:t>
      </w:r>
    </w:p>
    <w:p w14:paraId="34ED2A08" w14:textId="35F8867B" w:rsidR="006F267D" w:rsidRPr="009E3D0F" w:rsidRDefault="006F267D" w:rsidP="006F267D">
      <w:pPr>
        <w:tabs>
          <w:tab w:val="left" w:pos="2268"/>
        </w:tabs>
        <w:spacing w:before="120" w:after="120"/>
        <w:ind w:left="2268" w:hanging="567"/>
        <w:rPr>
          <w:rFonts w:eastAsia="Times New Roman"/>
          <w:sz w:val="20"/>
          <w:szCs w:val="20"/>
        </w:rPr>
      </w:pPr>
      <w:r w:rsidRPr="009E3D0F">
        <w:rPr>
          <w:rFonts w:eastAsia="Times New Roman"/>
          <w:sz w:val="20"/>
          <w:szCs w:val="20"/>
        </w:rPr>
        <w:t>(iii)</w:t>
      </w:r>
      <w:r w:rsidRPr="009E3D0F">
        <w:rPr>
          <w:rFonts w:eastAsia="Times New Roman"/>
          <w:sz w:val="20"/>
          <w:szCs w:val="20"/>
        </w:rPr>
        <w:tab/>
        <w:t>an Eligible Debt Portfolio</w:t>
      </w:r>
      <w:r w:rsidR="001D4D61" w:rsidRPr="009E3D0F">
        <w:rPr>
          <w:rStyle w:val="FootnoteReference"/>
          <w:rFonts w:eastAsia="Times New Roman"/>
          <w:sz w:val="20"/>
          <w:szCs w:val="20"/>
        </w:rPr>
        <w:footnoteReference w:id="6"/>
      </w:r>
      <w:r w:rsidRPr="009E3D0F">
        <w:rPr>
          <w:rFonts w:eastAsia="Times New Roman"/>
          <w:sz w:val="20"/>
          <w:szCs w:val="20"/>
        </w:rPr>
        <w:t>;</w:t>
      </w:r>
    </w:p>
    <w:p w14:paraId="097242C3" w14:textId="77777777" w:rsidR="006F267D" w:rsidRPr="009E3D0F" w:rsidRDefault="006F267D" w:rsidP="006F267D">
      <w:pPr>
        <w:tabs>
          <w:tab w:val="left" w:pos="2268"/>
        </w:tabs>
        <w:spacing w:before="120" w:after="120"/>
        <w:ind w:left="2268" w:hanging="567"/>
        <w:rPr>
          <w:rFonts w:eastAsia="Times New Roman"/>
          <w:sz w:val="20"/>
          <w:szCs w:val="20"/>
        </w:rPr>
      </w:pPr>
      <w:r w:rsidRPr="009E3D0F">
        <w:rPr>
          <w:rFonts w:eastAsia="Times New Roman"/>
          <w:sz w:val="20"/>
          <w:szCs w:val="20"/>
        </w:rPr>
        <w:t>(iv)</w:t>
      </w:r>
      <w:r w:rsidRPr="009E3D0F">
        <w:rPr>
          <w:rFonts w:eastAsia="Times New Roman"/>
          <w:sz w:val="20"/>
          <w:szCs w:val="20"/>
        </w:rPr>
        <w:tab/>
        <w:t>commodities or currencies where ASX is satisfied that:</w:t>
      </w:r>
    </w:p>
    <w:p w14:paraId="7F77DBBF" w14:textId="77777777" w:rsidR="006F267D" w:rsidRPr="009E3D0F" w:rsidRDefault="006F267D" w:rsidP="006F267D">
      <w:pPr>
        <w:tabs>
          <w:tab w:val="left" w:pos="2835"/>
        </w:tabs>
        <w:spacing w:before="120" w:after="120"/>
        <w:ind w:left="2835" w:hanging="567"/>
        <w:rPr>
          <w:rFonts w:eastAsia="Times New Roman"/>
          <w:sz w:val="20"/>
          <w:szCs w:val="20"/>
        </w:rPr>
      </w:pPr>
      <w:r w:rsidRPr="009E3D0F">
        <w:rPr>
          <w:rFonts w:eastAsia="Times New Roman"/>
          <w:sz w:val="20"/>
          <w:szCs w:val="20"/>
        </w:rPr>
        <w:t>(A)</w:t>
      </w:r>
      <w:r w:rsidRPr="009E3D0F">
        <w:rPr>
          <w:rFonts w:eastAsia="Times New Roman"/>
          <w:sz w:val="20"/>
          <w:szCs w:val="20"/>
        </w:rPr>
        <w:tab/>
        <w:t>the prices at which such commodities or currencies are bought or sold are available to market users in a timely manner; or</w:t>
      </w:r>
    </w:p>
    <w:p w14:paraId="34363555" w14:textId="77777777" w:rsidR="006F267D" w:rsidRPr="009E3D0F" w:rsidRDefault="006F267D" w:rsidP="006F267D">
      <w:pPr>
        <w:tabs>
          <w:tab w:val="left" w:pos="2835"/>
        </w:tabs>
        <w:spacing w:before="120" w:after="120"/>
        <w:ind w:left="2835" w:hanging="567"/>
        <w:rPr>
          <w:rFonts w:eastAsia="Times New Roman"/>
          <w:sz w:val="20"/>
          <w:szCs w:val="20"/>
        </w:rPr>
      </w:pPr>
      <w:r w:rsidRPr="009E3D0F">
        <w:rPr>
          <w:rFonts w:eastAsia="Times New Roman"/>
          <w:sz w:val="20"/>
          <w:szCs w:val="20"/>
        </w:rPr>
        <w:t>(B)</w:t>
      </w:r>
      <w:r w:rsidRPr="009E3D0F">
        <w:rPr>
          <w:rFonts w:eastAsia="Times New Roman"/>
          <w:sz w:val="20"/>
          <w:szCs w:val="20"/>
        </w:rPr>
        <w:tab/>
        <w:t>there is a regulated derivatives market which controls price discovery for the commodity or currency in question; and</w:t>
      </w:r>
    </w:p>
    <w:p w14:paraId="611D15CC" w14:textId="14169BC7" w:rsidR="006F267D" w:rsidRPr="009E3D0F" w:rsidRDefault="006F267D" w:rsidP="009E3D0F">
      <w:pPr>
        <w:tabs>
          <w:tab w:val="left" w:pos="2268"/>
        </w:tabs>
        <w:spacing w:before="120" w:after="120"/>
        <w:ind w:left="2268" w:hanging="567"/>
        <w:rPr>
          <w:rFonts w:eastAsia="Times New Roman"/>
          <w:sz w:val="20"/>
          <w:szCs w:val="20"/>
        </w:rPr>
      </w:pPr>
      <w:r w:rsidRPr="009E3D0F">
        <w:rPr>
          <w:rFonts w:eastAsia="Times New Roman"/>
          <w:sz w:val="20"/>
          <w:szCs w:val="20"/>
        </w:rPr>
        <w:t>(v)</w:t>
      </w:r>
      <w:r w:rsidRPr="009E3D0F">
        <w:rPr>
          <w:rFonts w:eastAsia="Times New Roman"/>
          <w:sz w:val="20"/>
          <w:szCs w:val="20"/>
        </w:rPr>
        <w:tab/>
        <w:t>Eligible Crypto-assets</w:t>
      </w:r>
      <w:r w:rsidR="001D4D61" w:rsidRPr="009E3D0F">
        <w:rPr>
          <w:rStyle w:val="FootnoteReference"/>
          <w:rFonts w:eastAsia="Times New Roman"/>
          <w:sz w:val="20"/>
          <w:szCs w:val="20"/>
        </w:rPr>
        <w:footnoteReference w:id="7"/>
      </w:r>
      <w:r w:rsidRPr="009E3D0F">
        <w:rPr>
          <w:rFonts w:eastAsia="Times New Roman"/>
          <w:sz w:val="20"/>
          <w:szCs w:val="20"/>
        </w:rPr>
        <w:t>; and</w:t>
      </w:r>
    </w:p>
    <w:p w14:paraId="20F035F6" w14:textId="79F257BE" w:rsidR="006F267D" w:rsidRPr="009E3D0F" w:rsidRDefault="006F267D" w:rsidP="009E3D0F">
      <w:pPr>
        <w:tabs>
          <w:tab w:val="left" w:pos="2268"/>
        </w:tabs>
        <w:spacing w:before="120" w:after="120"/>
        <w:ind w:left="2268" w:hanging="567"/>
        <w:rPr>
          <w:rFonts w:asciiTheme="minorHAnsi" w:eastAsia="Times New Roman" w:hAnsiTheme="minorHAnsi" w:cstheme="minorHAnsi"/>
          <w:sz w:val="20"/>
        </w:rPr>
      </w:pPr>
      <w:r w:rsidRPr="009E3D0F">
        <w:rPr>
          <w:rFonts w:eastAsia="Times New Roman"/>
          <w:sz w:val="20"/>
          <w:szCs w:val="20"/>
        </w:rPr>
        <w:t>(vi)</w:t>
      </w:r>
      <w:r w:rsidRPr="009E3D0F">
        <w:rPr>
          <w:rFonts w:eastAsia="Times New Roman"/>
          <w:sz w:val="20"/>
          <w:szCs w:val="20"/>
        </w:rPr>
        <w:tab/>
        <w:t>indices over any of the Underlying Instruments listed in paragraphs (c)(i) to (c)(v) where ASX is satisfied that the index in question is widely regarded as having robust and transparent eligibility criteria, governance arrangements and meth</w:t>
      </w:r>
      <w:r w:rsidRPr="009E3D0F">
        <w:rPr>
          <w:rFonts w:asciiTheme="minorHAnsi" w:eastAsia="Times New Roman" w:hAnsiTheme="minorHAnsi" w:cstheme="minorHAnsi"/>
          <w:sz w:val="20"/>
          <w:szCs w:val="20"/>
        </w:rPr>
        <w:t>odologies for constructing and maintaining the index.</w:t>
      </w:r>
    </w:p>
    <w:sectPr w:rsidR="006F267D" w:rsidRPr="009E3D0F" w:rsidSect="00451F6F">
      <w:headerReference w:type="default" r:id="rId18"/>
      <w:footerReference w:type="default" r:id="rId19"/>
      <w:headerReference w:type="first" r:id="rId20"/>
      <w:pgSz w:w="11906" w:h="16838" w:code="9"/>
      <w:pgMar w:top="1814" w:right="1134" w:bottom="1134" w:left="1134" w:header="539"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4A849" w14:textId="77777777" w:rsidR="008756CC" w:rsidRDefault="008756CC">
      <w:r>
        <w:separator/>
      </w:r>
    </w:p>
  </w:endnote>
  <w:endnote w:type="continuationSeparator" w:id="0">
    <w:p w14:paraId="0DA94A9A" w14:textId="77777777" w:rsidR="008756CC" w:rsidRDefault="0087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lassGarmnd BT">
    <w:altName w:val="Constantia"/>
    <w:charset w:val="00"/>
    <w:family w:val="roman"/>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793109"/>
      <w:docPartObj>
        <w:docPartGallery w:val="Page Numbers (Bottom of Page)"/>
        <w:docPartUnique/>
      </w:docPartObj>
    </w:sdtPr>
    <w:sdtEndPr>
      <w:rPr>
        <w:noProof/>
      </w:rPr>
    </w:sdtEndPr>
    <w:sdtContent>
      <w:p w14:paraId="0EAEB063" w14:textId="10B14E36" w:rsidR="00734E83" w:rsidRDefault="00734E83">
        <w:pPr>
          <w:pStyle w:val="Footer"/>
        </w:pPr>
        <w:r>
          <w:fldChar w:fldCharType="begin"/>
        </w:r>
        <w:r>
          <w:instrText xml:space="preserve"> PAGE   \* MERGEFORMAT </w:instrText>
        </w:r>
        <w:r>
          <w:fldChar w:fldCharType="separate"/>
        </w:r>
        <w:r w:rsidR="007E47F6">
          <w:rPr>
            <w:noProof/>
          </w:rPr>
          <w:t>1</w:t>
        </w:r>
        <w:r>
          <w:rPr>
            <w:noProof/>
          </w:rPr>
          <w:fldChar w:fldCharType="end"/>
        </w:r>
      </w:p>
    </w:sdtContent>
  </w:sdt>
  <w:p w14:paraId="1B681A88" w14:textId="14A173CA" w:rsidR="00FD7CB6" w:rsidRPr="008574B8" w:rsidRDefault="00FD7CB6" w:rsidP="00857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66D90" w14:textId="77777777" w:rsidR="008756CC" w:rsidRDefault="008756CC">
      <w:r>
        <w:separator/>
      </w:r>
    </w:p>
  </w:footnote>
  <w:footnote w:type="continuationSeparator" w:id="0">
    <w:p w14:paraId="17AC2748" w14:textId="77777777" w:rsidR="008756CC" w:rsidRDefault="008756CC">
      <w:r>
        <w:continuationSeparator/>
      </w:r>
    </w:p>
  </w:footnote>
  <w:footnote w:id="1">
    <w:p w14:paraId="3AED09A8" w14:textId="4D16ADA5" w:rsidR="00CE7F9A" w:rsidRPr="009E3D0F" w:rsidRDefault="00CE7F9A">
      <w:pPr>
        <w:pStyle w:val="FootnoteText"/>
        <w:rPr>
          <w:lang w:val="en-US"/>
        </w:rPr>
      </w:pPr>
      <w:r>
        <w:rPr>
          <w:rStyle w:val="FootnoteReference"/>
        </w:rPr>
        <w:footnoteRef/>
      </w:r>
      <w:r>
        <w:t xml:space="preserve"> </w:t>
      </w:r>
      <w:hyperlink r:id="rId1" w:history="1">
        <w:r w:rsidRPr="009E3D0F">
          <w:rPr>
            <w:rStyle w:val="Hyperlink"/>
            <w:color w:val="00B0F0"/>
          </w:rPr>
          <w:t>https://www.asx.com.au/issuers/investment-products/how-to-issue/etfs-and-other-etps</w:t>
        </w:r>
      </w:hyperlink>
      <w:r w:rsidRPr="009E3D0F">
        <w:rPr>
          <w:color w:val="00B0F0"/>
        </w:rPr>
        <w:t xml:space="preserve"> </w:t>
      </w:r>
    </w:p>
  </w:footnote>
  <w:footnote w:id="2">
    <w:p w14:paraId="2A53EDCF" w14:textId="382B164E" w:rsidR="00920A0A" w:rsidRDefault="00920A0A" w:rsidP="009E3D0F">
      <w:pPr>
        <w:pStyle w:val="Clause"/>
        <w:ind w:left="0" w:firstLine="0"/>
      </w:pPr>
      <w:r>
        <w:rPr>
          <w:rStyle w:val="FootnoteReference"/>
        </w:rPr>
        <w:footnoteRef/>
      </w:r>
      <w:r>
        <w:t xml:space="preserve"> </w:t>
      </w:r>
      <w:r w:rsidR="00006D48">
        <w:rPr>
          <w:rFonts w:ascii="Calibri" w:hAnsi="Calibri" w:cs="Calibri"/>
          <w:sz w:val="16"/>
          <w:szCs w:val="16"/>
        </w:rPr>
        <w:t>I</w:t>
      </w:r>
      <w:r w:rsidRPr="009E3D0F">
        <w:rPr>
          <w:rFonts w:ascii="Calibri" w:hAnsi="Calibri" w:cs="Calibri"/>
          <w:sz w:val="16"/>
          <w:szCs w:val="16"/>
        </w:rPr>
        <w:t>n relation to AQUA Products, “Underlying Instrument” means the Financial Product, index, foreign or Australian currency, commodity, Crypto-asset or other point of reference for determining the value of the AQUA Product.</w:t>
      </w:r>
    </w:p>
    <w:p w14:paraId="38C5C482" w14:textId="10C6811D" w:rsidR="00920A0A" w:rsidRPr="009E3D0F" w:rsidRDefault="00920A0A">
      <w:pPr>
        <w:pStyle w:val="FootnoteText"/>
        <w:rPr>
          <w:lang w:val="en-US"/>
        </w:rPr>
      </w:pPr>
    </w:p>
  </w:footnote>
  <w:footnote w:id="3">
    <w:p w14:paraId="1CE5D077" w14:textId="77777777" w:rsidR="00D87714" w:rsidRPr="009E3D0F" w:rsidRDefault="009C3BA6" w:rsidP="009E3D0F">
      <w:pPr>
        <w:spacing w:before="80"/>
        <w:rPr>
          <w:sz w:val="16"/>
          <w:szCs w:val="16"/>
        </w:rPr>
      </w:pPr>
      <w:r w:rsidRPr="004D545E">
        <w:rPr>
          <w:rStyle w:val="FootnoteReference"/>
        </w:rPr>
        <w:footnoteRef/>
      </w:r>
      <w:r w:rsidRPr="004D545E">
        <w:t xml:space="preserve"> </w:t>
      </w:r>
      <w:r w:rsidR="00D87714" w:rsidRPr="009E3D0F">
        <w:rPr>
          <w:sz w:val="16"/>
          <w:szCs w:val="16"/>
        </w:rPr>
        <w:t>For the purpose of Rule 10A.3.3(c)(i)(B), the following exchanges are specified:</w:t>
      </w:r>
    </w:p>
    <w:p w14:paraId="377B358E" w14:textId="77777777" w:rsidR="00D87714" w:rsidRPr="009E3D0F" w:rsidRDefault="00D87714" w:rsidP="00D87714">
      <w:pPr>
        <w:pStyle w:val="List"/>
        <w:rPr>
          <w:sz w:val="16"/>
          <w:szCs w:val="16"/>
        </w:rPr>
      </w:pPr>
      <w:r w:rsidRPr="009E3D0F">
        <w:rPr>
          <w:sz w:val="16"/>
          <w:szCs w:val="16"/>
        </w:rPr>
        <w:t>(a)</w:t>
      </w:r>
      <w:r w:rsidRPr="009E3D0F">
        <w:rPr>
          <w:sz w:val="16"/>
          <w:szCs w:val="16"/>
        </w:rPr>
        <w:tab/>
        <w:t>a Non-ASX Market that is a member of the World Federation of Exchanges; and</w:t>
      </w:r>
    </w:p>
    <w:p w14:paraId="0CC257A4" w14:textId="77777777" w:rsidR="00D87714" w:rsidRPr="009E3D0F" w:rsidRDefault="00D87714" w:rsidP="00D87714">
      <w:pPr>
        <w:pStyle w:val="List"/>
        <w:rPr>
          <w:sz w:val="16"/>
          <w:szCs w:val="16"/>
        </w:rPr>
      </w:pPr>
      <w:r w:rsidRPr="009E3D0F">
        <w:rPr>
          <w:sz w:val="16"/>
          <w:szCs w:val="16"/>
        </w:rPr>
        <w:t>(b)</w:t>
      </w:r>
      <w:r w:rsidRPr="009E3D0F">
        <w:rPr>
          <w:sz w:val="16"/>
          <w:szCs w:val="16"/>
        </w:rPr>
        <w:tab/>
        <w:t>a Non-ASX Market that is a member of the Federation of European Securities Exchanges.</w:t>
      </w:r>
    </w:p>
    <w:p w14:paraId="59D9EB8C" w14:textId="3B393653" w:rsidR="009C3BA6" w:rsidRPr="009E3D0F" w:rsidRDefault="009C3BA6">
      <w:pPr>
        <w:pStyle w:val="FootnoteText"/>
        <w:rPr>
          <w:lang w:val="en-US"/>
        </w:rPr>
      </w:pPr>
    </w:p>
  </w:footnote>
  <w:footnote w:id="4">
    <w:p w14:paraId="6F92E70F" w14:textId="77777777" w:rsidR="00C74246" w:rsidRPr="009E3D0F" w:rsidRDefault="00C74246" w:rsidP="009E3D0F">
      <w:pPr>
        <w:spacing w:before="80"/>
        <w:rPr>
          <w:sz w:val="16"/>
          <w:szCs w:val="16"/>
        </w:rPr>
      </w:pPr>
      <w:r w:rsidRPr="004D545E">
        <w:rPr>
          <w:rStyle w:val="FootnoteReference"/>
        </w:rPr>
        <w:footnoteRef/>
      </w:r>
      <w:r w:rsidRPr="004D545E">
        <w:t xml:space="preserve"> </w:t>
      </w:r>
      <w:r w:rsidRPr="009E3D0F">
        <w:rPr>
          <w:sz w:val="16"/>
          <w:szCs w:val="16"/>
        </w:rPr>
        <w:t>For the purpose of Rule 10A.3.3(c)(ii)(A), the following indices are specified:</w:t>
      </w:r>
    </w:p>
    <w:p w14:paraId="71B70C14" w14:textId="77777777" w:rsidR="00C74246" w:rsidRPr="009E3D0F" w:rsidRDefault="00C74246" w:rsidP="00C74246">
      <w:pPr>
        <w:pStyle w:val="List"/>
        <w:rPr>
          <w:sz w:val="16"/>
          <w:szCs w:val="16"/>
        </w:rPr>
      </w:pPr>
      <w:r w:rsidRPr="009E3D0F">
        <w:rPr>
          <w:sz w:val="16"/>
          <w:szCs w:val="16"/>
        </w:rPr>
        <w:t>(a)</w:t>
      </w:r>
      <w:r w:rsidRPr="009E3D0F">
        <w:rPr>
          <w:sz w:val="16"/>
          <w:szCs w:val="16"/>
        </w:rPr>
        <w:tab/>
        <w:t>the Bloomberg AusBond Bank Bill Index;</w:t>
      </w:r>
    </w:p>
    <w:p w14:paraId="16574F2F" w14:textId="77777777" w:rsidR="00C74246" w:rsidRPr="009E3D0F" w:rsidRDefault="00C74246" w:rsidP="00C74246">
      <w:pPr>
        <w:pStyle w:val="List"/>
        <w:rPr>
          <w:sz w:val="16"/>
          <w:szCs w:val="16"/>
        </w:rPr>
      </w:pPr>
      <w:r w:rsidRPr="009E3D0F">
        <w:rPr>
          <w:sz w:val="16"/>
          <w:szCs w:val="16"/>
        </w:rPr>
        <w:t>(b)</w:t>
      </w:r>
      <w:r w:rsidRPr="009E3D0F">
        <w:rPr>
          <w:sz w:val="16"/>
          <w:szCs w:val="16"/>
        </w:rPr>
        <w:tab/>
        <w:t>the Bloomberg AusBond Master 0+ Yr Index;</w:t>
      </w:r>
    </w:p>
    <w:p w14:paraId="2E85718D" w14:textId="77777777" w:rsidR="00C74246" w:rsidRPr="009E3D0F" w:rsidRDefault="00C74246" w:rsidP="00C74246">
      <w:pPr>
        <w:pStyle w:val="List"/>
        <w:rPr>
          <w:sz w:val="16"/>
          <w:szCs w:val="16"/>
        </w:rPr>
      </w:pPr>
      <w:r w:rsidRPr="009E3D0F">
        <w:rPr>
          <w:sz w:val="16"/>
          <w:szCs w:val="16"/>
        </w:rPr>
        <w:t>(c)</w:t>
      </w:r>
      <w:r w:rsidRPr="009E3D0F">
        <w:rPr>
          <w:sz w:val="16"/>
          <w:szCs w:val="16"/>
        </w:rPr>
        <w:tab/>
        <w:t>the S&amp;P/ASX Australian Fixed Interest Index;</w:t>
      </w:r>
    </w:p>
    <w:p w14:paraId="5061FFE5" w14:textId="77777777" w:rsidR="00C74246" w:rsidRPr="009E3D0F" w:rsidRDefault="00C74246" w:rsidP="00C74246">
      <w:pPr>
        <w:pStyle w:val="List"/>
        <w:rPr>
          <w:sz w:val="16"/>
          <w:szCs w:val="16"/>
        </w:rPr>
      </w:pPr>
      <w:r w:rsidRPr="009E3D0F">
        <w:rPr>
          <w:sz w:val="16"/>
          <w:szCs w:val="16"/>
        </w:rPr>
        <w:t>(d)</w:t>
      </w:r>
      <w:r w:rsidRPr="009E3D0F">
        <w:rPr>
          <w:sz w:val="16"/>
          <w:szCs w:val="16"/>
        </w:rPr>
        <w:tab/>
        <w:t>the S&amp;P/ASX Bank Bill Index;</w:t>
      </w:r>
    </w:p>
    <w:p w14:paraId="5AA2CD94" w14:textId="77777777" w:rsidR="00C74246" w:rsidRPr="009E3D0F" w:rsidRDefault="00C74246" w:rsidP="00C74246">
      <w:pPr>
        <w:pStyle w:val="List"/>
        <w:rPr>
          <w:sz w:val="16"/>
          <w:szCs w:val="16"/>
        </w:rPr>
      </w:pPr>
      <w:r w:rsidRPr="009E3D0F">
        <w:rPr>
          <w:sz w:val="16"/>
          <w:szCs w:val="16"/>
        </w:rPr>
        <w:t>(e)</w:t>
      </w:r>
      <w:r w:rsidRPr="009E3D0F">
        <w:rPr>
          <w:sz w:val="16"/>
          <w:szCs w:val="16"/>
        </w:rPr>
        <w:tab/>
        <w:t>the Barclays Global Aggregate Index;</w:t>
      </w:r>
    </w:p>
    <w:p w14:paraId="32B59B5B" w14:textId="77777777" w:rsidR="00C74246" w:rsidRPr="009E3D0F" w:rsidRDefault="00C74246" w:rsidP="00C74246">
      <w:pPr>
        <w:pStyle w:val="List"/>
        <w:rPr>
          <w:sz w:val="16"/>
          <w:szCs w:val="16"/>
        </w:rPr>
      </w:pPr>
      <w:r w:rsidRPr="009E3D0F">
        <w:rPr>
          <w:sz w:val="16"/>
          <w:szCs w:val="16"/>
        </w:rPr>
        <w:t>(f)</w:t>
      </w:r>
      <w:r w:rsidRPr="009E3D0F">
        <w:rPr>
          <w:sz w:val="16"/>
          <w:szCs w:val="16"/>
        </w:rPr>
        <w:tab/>
        <w:t>the J.P. Morgan Emerging Markets Bond Index Global;</w:t>
      </w:r>
    </w:p>
    <w:p w14:paraId="7C15BDCF" w14:textId="77777777" w:rsidR="00C74246" w:rsidRPr="009E3D0F" w:rsidRDefault="00C74246" w:rsidP="00C74246">
      <w:pPr>
        <w:pStyle w:val="List"/>
        <w:rPr>
          <w:sz w:val="16"/>
          <w:szCs w:val="16"/>
        </w:rPr>
      </w:pPr>
      <w:r w:rsidRPr="009E3D0F">
        <w:rPr>
          <w:sz w:val="16"/>
          <w:szCs w:val="16"/>
        </w:rPr>
        <w:t>(g)</w:t>
      </w:r>
      <w:r w:rsidRPr="009E3D0F">
        <w:rPr>
          <w:sz w:val="16"/>
          <w:szCs w:val="16"/>
        </w:rPr>
        <w:tab/>
        <w:t>the Markit iBoxx Global Developed Markets Liquid High Yield Index;</w:t>
      </w:r>
    </w:p>
    <w:p w14:paraId="691FA08A" w14:textId="77777777" w:rsidR="00C74246" w:rsidRPr="009E3D0F" w:rsidRDefault="00C74246" w:rsidP="00C74246">
      <w:pPr>
        <w:pStyle w:val="List"/>
        <w:rPr>
          <w:sz w:val="16"/>
          <w:szCs w:val="16"/>
        </w:rPr>
      </w:pPr>
      <w:r w:rsidRPr="009E3D0F">
        <w:rPr>
          <w:sz w:val="16"/>
          <w:szCs w:val="16"/>
        </w:rPr>
        <w:t>(h)</w:t>
      </w:r>
      <w:r w:rsidRPr="009E3D0F">
        <w:rPr>
          <w:sz w:val="16"/>
          <w:szCs w:val="16"/>
        </w:rPr>
        <w:tab/>
        <w:t>the Markit iBoxx USD Liquid Investment Grade Index;</w:t>
      </w:r>
    </w:p>
    <w:p w14:paraId="7D5EAF29" w14:textId="77777777" w:rsidR="00C74246" w:rsidRPr="009E3D0F" w:rsidRDefault="00C74246" w:rsidP="00C74246">
      <w:pPr>
        <w:pStyle w:val="List"/>
        <w:rPr>
          <w:sz w:val="16"/>
          <w:szCs w:val="16"/>
        </w:rPr>
      </w:pPr>
      <w:r w:rsidRPr="009E3D0F">
        <w:rPr>
          <w:sz w:val="16"/>
          <w:szCs w:val="16"/>
        </w:rPr>
        <w:t>(i)</w:t>
      </w:r>
      <w:r w:rsidRPr="009E3D0F">
        <w:rPr>
          <w:sz w:val="16"/>
          <w:szCs w:val="16"/>
        </w:rPr>
        <w:tab/>
        <w:t>the Markit iBoxx EUR High Yield main cum crossover LC Index;</w:t>
      </w:r>
    </w:p>
    <w:p w14:paraId="3472C0B7" w14:textId="77777777" w:rsidR="00C74246" w:rsidRPr="009E3D0F" w:rsidRDefault="00C74246" w:rsidP="00C74246">
      <w:pPr>
        <w:pStyle w:val="List"/>
        <w:rPr>
          <w:sz w:val="16"/>
          <w:szCs w:val="16"/>
        </w:rPr>
      </w:pPr>
      <w:r w:rsidRPr="009E3D0F">
        <w:rPr>
          <w:sz w:val="16"/>
          <w:szCs w:val="16"/>
        </w:rPr>
        <w:t>(j)</w:t>
      </w:r>
      <w:r w:rsidRPr="009E3D0F">
        <w:rPr>
          <w:sz w:val="16"/>
          <w:szCs w:val="16"/>
        </w:rPr>
        <w:tab/>
        <w:t>the Markit iBoxx ABF Pan-Asia Index;</w:t>
      </w:r>
    </w:p>
    <w:p w14:paraId="3157FA08" w14:textId="77777777" w:rsidR="00C74246" w:rsidRPr="009E3D0F" w:rsidRDefault="00C74246" w:rsidP="00C74246">
      <w:pPr>
        <w:pStyle w:val="List"/>
        <w:rPr>
          <w:sz w:val="16"/>
          <w:szCs w:val="16"/>
        </w:rPr>
      </w:pPr>
      <w:r w:rsidRPr="009E3D0F">
        <w:rPr>
          <w:sz w:val="16"/>
          <w:szCs w:val="16"/>
        </w:rPr>
        <w:t>(k)</w:t>
      </w:r>
      <w:r w:rsidRPr="009E3D0F">
        <w:rPr>
          <w:sz w:val="16"/>
          <w:szCs w:val="16"/>
        </w:rPr>
        <w:tab/>
        <w:t>the Markit iBoxx EUR Overall Index;</w:t>
      </w:r>
    </w:p>
    <w:p w14:paraId="171FDEAC" w14:textId="77777777" w:rsidR="00C74246" w:rsidRPr="009E3D0F" w:rsidRDefault="00C74246" w:rsidP="00C74246">
      <w:pPr>
        <w:pStyle w:val="List"/>
        <w:rPr>
          <w:sz w:val="16"/>
          <w:szCs w:val="16"/>
        </w:rPr>
      </w:pPr>
      <w:r w:rsidRPr="009E3D0F">
        <w:rPr>
          <w:sz w:val="16"/>
          <w:szCs w:val="16"/>
        </w:rPr>
        <w:t>(l)</w:t>
      </w:r>
      <w:r w:rsidRPr="009E3D0F">
        <w:rPr>
          <w:sz w:val="16"/>
          <w:szCs w:val="16"/>
        </w:rPr>
        <w:tab/>
        <w:t>the Markit iBoxx GBP Overall Index;</w:t>
      </w:r>
    </w:p>
    <w:p w14:paraId="3CAE3730" w14:textId="77777777" w:rsidR="00C74246" w:rsidRPr="009E3D0F" w:rsidRDefault="00C74246" w:rsidP="00C74246">
      <w:pPr>
        <w:pStyle w:val="List"/>
        <w:rPr>
          <w:sz w:val="16"/>
          <w:szCs w:val="16"/>
        </w:rPr>
      </w:pPr>
      <w:r w:rsidRPr="009E3D0F">
        <w:rPr>
          <w:sz w:val="16"/>
          <w:szCs w:val="16"/>
        </w:rPr>
        <w:t>(m)</w:t>
      </w:r>
      <w:r w:rsidRPr="009E3D0F">
        <w:rPr>
          <w:sz w:val="16"/>
          <w:szCs w:val="16"/>
        </w:rPr>
        <w:tab/>
        <w:t>the Markit iBoxx Global Inflation-Linked All USD Index;</w:t>
      </w:r>
    </w:p>
    <w:p w14:paraId="028809F4" w14:textId="77777777" w:rsidR="00C74246" w:rsidRPr="009E3D0F" w:rsidRDefault="00C74246" w:rsidP="00C74246">
      <w:pPr>
        <w:pStyle w:val="List"/>
        <w:rPr>
          <w:sz w:val="16"/>
          <w:szCs w:val="16"/>
        </w:rPr>
      </w:pPr>
      <w:r w:rsidRPr="009E3D0F">
        <w:rPr>
          <w:sz w:val="16"/>
          <w:szCs w:val="16"/>
        </w:rPr>
        <w:t>(n)</w:t>
      </w:r>
      <w:r w:rsidRPr="009E3D0F">
        <w:rPr>
          <w:sz w:val="16"/>
          <w:szCs w:val="16"/>
        </w:rPr>
        <w:tab/>
        <w:t>the Markit iBoxx USD Overall Index;</w:t>
      </w:r>
    </w:p>
    <w:p w14:paraId="37F27D21" w14:textId="77777777" w:rsidR="00C74246" w:rsidRPr="009E3D0F" w:rsidRDefault="00C74246" w:rsidP="00C74246">
      <w:pPr>
        <w:pStyle w:val="List"/>
        <w:rPr>
          <w:sz w:val="16"/>
          <w:szCs w:val="16"/>
        </w:rPr>
      </w:pPr>
      <w:r w:rsidRPr="009E3D0F">
        <w:rPr>
          <w:sz w:val="16"/>
          <w:szCs w:val="16"/>
        </w:rPr>
        <w:t>(o)</w:t>
      </w:r>
      <w:r w:rsidRPr="009E3D0F">
        <w:rPr>
          <w:sz w:val="16"/>
          <w:szCs w:val="16"/>
        </w:rPr>
        <w:tab/>
        <w:t>the Markit iBoxx USD Emerging Markets Sovereigns Index.</w:t>
      </w:r>
    </w:p>
    <w:p w14:paraId="24ADCA94" w14:textId="769D7D98" w:rsidR="00C74246" w:rsidRPr="009E3D0F" w:rsidRDefault="00C74246">
      <w:pPr>
        <w:pStyle w:val="FootnoteText"/>
        <w:rPr>
          <w:lang w:val="en-US"/>
        </w:rPr>
      </w:pPr>
    </w:p>
  </w:footnote>
  <w:footnote w:id="5">
    <w:p w14:paraId="7681A4C7" w14:textId="77777777" w:rsidR="00C74246" w:rsidRPr="009E3D0F" w:rsidRDefault="00C74246" w:rsidP="00C74246">
      <w:pPr>
        <w:rPr>
          <w:sz w:val="16"/>
          <w:szCs w:val="16"/>
        </w:rPr>
      </w:pPr>
      <w:r w:rsidRPr="004D545E">
        <w:rPr>
          <w:rStyle w:val="FootnoteReference"/>
        </w:rPr>
        <w:footnoteRef/>
      </w:r>
      <w:r w:rsidRPr="004D545E">
        <w:t xml:space="preserve"> </w:t>
      </w:r>
      <w:r w:rsidRPr="009E3D0F">
        <w:rPr>
          <w:sz w:val="16"/>
          <w:szCs w:val="16"/>
        </w:rPr>
        <w:t>For the purpose of Rule 10A.3.3(c)(ii)(B), the following types of entities are specified:</w:t>
      </w:r>
    </w:p>
    <w:p w14:paraId="669B654B" w14:textId="77777777" w:rsidR="00C74246" w:rsidRPr="009E3D0F" w:rsidRDefault="00C74246" w:rsidP="00C74246">
      <w:pPr>
        <w:pStyle w:val="List"/>
        <w:rPr>
          <w:sz w:val="16"/>
          <w:szCs w:val="16"/>
        </w:rPr>
      </w:pPr>
      <w:r w:rsidRPr="009E3D0F">
        <w:rPr>
          <w:sz w:val="16"/>
          <w:szCs w:val="16"/>
        </w:rPr>
        <w:t>(a)</w:t>
      </w:r>
      <w:r w:rsidRPr="009E3D0F">
        <w:rPr>
          <w:sz w:val="16"/>
          <w:szCs w:val="16"/>
        </w:rPr>
        <w:tab/>
        <w:t>an entity which is admitted to listing on or which has a class of its securities quoted on:</w:t>
      </w:r>
    </w:p>
    <w:p w14:paraId="7289E9F3" w14:textId="77777777" w:rsidR="00C74246" w:rsidRPr="009E3D0F" w:rsidRDefault="00C74246" w:rsidP="00C74246">
      <w:pPr>
        <w:pStyle w:val="List2"/>
        <w:rPr>
          <w:sz w:val="16"/>
          <w:szCs w:val="16"/>
        </w:rPr>
      </w:pPr>
      <w:r w:rsidRPr="009E3D0F">
        <w:rPr>
          <w:sz w:val="16"/>
          <w:szCs w:val="16"/>
        </w:rPr>
        <w:t>(1)</w:t>
      </w:r>
      <w:r w:rsidRPr="009E3D0F">
        <w:rPr>
          <w:sz w:val="16"/>
          <w:szCs w:val="16"/>
        </w:rPr>
        <w:tab/>
        <w:t>the Market; or</w:t>
      </w:r>
    </w:p>
    <w:p w14:paraId="2FE10B36" w14:textId="77777777" w:rsidR="00C74246" w:rsidRPr="009E3D0F" w:rsidRDefault="00C74246" w:rsidP="00C74246">
      <w:pPr>
        <w:pStyle w:val="List2"/>
        <w:rPr>
          <w:sz w:val="16"/>
          <w:szCs w:val="16"/>
        </w:rPr>
      </w:pPr>
      <w:r w:rsidRPr="009E3D0F">
        <w:rPr>
          <w:sz w:val="16"/>
          <w:szCs w:val="16"/>
        </w:rPr>
        <w:t>(2)</w:t>
      </w:r>
      <w:r w:rsidRPr="009E3D0F">
        <w:rPr>
          <w:sz w:val="16"/>
          <w:szCs w:val="16"/>
        </w:rPr>
        <w:tab/>
        <w:t>a Non-ASX Market that is specified in the Procedures for the purpose of Rule 10A.3.3(c)(i)(B);</w:t>
      </w:r>
    </w:p>
    <w:p w14:paraId="6777DAE0" w14:textId="77777777" w:rsidR="00C74246" w:rsidRPr="009E3D0F" w:rsidRDefault="00C74246" w:rsidP="00C74246">
      <w:pPr>
        <w:pStyle w:val="List"/>
        <w:rPr>
          <w:sz w:val="16"/>
          <w:szCs w:val="16"/>
        </w:rPr>
      </w:pPr>
      <w:r w:rsidRPr="009E3D0F">
        <w:rPr>
          <w:sz w:val="16"/>
          <w:szCs w:val="16"/>
        </w:rPr>
        <w:t>(b)</w:t>
      </w:r>
      <w:r w:rsidRPr="009E3D0F">
        <w:rPr>
          <w:sz w:val="16"/>
          <w:szCs w:val="16"/>
        </w:rPr>
        <w:tab/>
        <w:t>a semi-government authority;</w:t>
      </w:r>
    </w:p>
    <w:p w14:paraId="5CCB89F2" w14:textId="66794F84" w:rsidR="00C74246" w:rsidRPr="009E3D0F" w:rsidRDefault="00C74246" w:rsidP="00C74246">
      <w:pPr>
        <w:pStyle w:val="FootnoteText"/>
        <w:rPr>
          <w:lang w:val="en-US"/>
        </w:rPr>
      </w:pPr>
      <w:r w:rsidRPr="004D545E">
        <w:rPr>
          <w:sz w:val="16"/>
          <w:szCs w:val="16"/>
        </w:rPr>
        <w:t xml:space="preserve">(c)    </w:t>
      </w:r>
      <w:r w:rsidRPr="009E3D0F">
        <w:rPr>
          <w:sz w:val="16"/>
          <w:szCs w:val="16"/>
        </w:rPr>
        <w:t>an entity which is prudentially regulated by the Australian Prudential Regulation Authority (APRA), or for a foreign entity, by the equivalent regulator in its home jurisdiction.</w:t>
      </w:r>
    </w:p>
  </w:footnote>
  <w:footnote w:id="6">
    <w:p w14:paraId="09439B19" w14:textId="77777777" w:rsidR="001D4D61" w:rsidRPr="009E3D0F" w:rsidRDefault="001D4D61" w:rsidP="009E3D0F">
      <w:pPr>
        <w:pStyle w:val="Clause"/>
        <w:spacing w:after="0"/>
        <w:rPr>
          <w:rFonts w:ascii="Calibri" w:hAnsi="Calibri" w:cs="Calibri"/>
          <w:sz w:val="16"/>
          <w:szCs w:val="16"/>
        </w:rPr>
      </w:pPr>
      <w:r w:rsidRPr="009E3D0F">
        <w:rPr>
          <w:rStyle w:val="FootnoteReference"/>
          <w:rFonts w:ascii="Calibri" w:hAnsi="Calibri" w:cs="Calibri"/>
        </w:rPr>
        <w:footnoteRef/>
      </w:r>
      <w:r w:rsidRPr="009E3D0F">
        <w:rPr>
          <w:rFonts w:ascii="Calibri" w:hAnsi="Calibri" w:cs="Calibri"/>
        </w:rPr>
        <w:t xml:space="preserve"> </w:t>
      </w:r>
      <w:r w:rsidRPr="009E3D0F">
        <w:rPr>
          <w:rFonts w:ascii="Calibri" w:hAnsi="Calibri" w:cs="Calibri"/>
          <w:b/>
          <w:sz w:val="16"/>
          <w:szCs w:val="16"/>
        </w:rPr>
        <w:t>"</w:t>
      </w:r>
      <w:r w:rsidRPr="009E3D0F">
        <w:rPr>
          <w:rFonts w:ascii="Calibri" w:hAnsi="Calibri" w:cs="Calibri"/>
          <w:sz w:val="16"/>
          <w:szCs w:val="16"/>
        </w:rPr>
        <w:t>Eligible Debt Portfolio</w:t>
      </w:r>
      <w:r w:rsidRPr="009E3D0F">
        <w:rPr>
          <w:rFonts w:ascii="Calibri" w:hAnsi="Calibri" w:cs="Calibri"/>
          <w:b/>
          <w:sz w:val="16"/>
          <w:szCs w:val="16"/>
        </w:rPr>
        <w:t>"</w:t>
      </w:r>
      <w:r w:rsidRPr="009E3D0F">
        <w:rPr>
          <w:rFonts w:ascii="Calibri" w:hAnsi="Calibri" w:cs="Calibri"/>
          <w:sz w:val="16"/>
          <w:szCs w:val="16"/>
        </w:rPr>
        <w:t xml:space="preserve"> means:</w:t>
      </w:r>
    </w:p>
    <w:p w14:paraId="01A1CD40" w14:textId="77777777" w:rsidR="001D4D61" w:rsidRPr="009E3D0F" w:rsidRDefault="001D4D61" w:rsidP="001D4D61">
      <w:pPr>
        <w:pStyle w:val="List"/>
        <w:rPr>
          <w:sz w:val="16"/>
          <w:szCs w:val="16"/>
        </w:rPr>
      </w:pPr>
      <w:r w:rsidRPr="009E3D0F">
        <w:rPr>
          <w:sz w:val="16"/>
          <w:szCs w:val="16"/>
        </w:rPr>
        <w:t>(a)</w:t>
      </w:r>
      <w:r w:rsidRPr="009E3D0F">
        <w:rPr>
          <w:sz w:val="16"/>
          <w:szCs w:val="16"/>
        </w:rPr>
        <w:tab/>
        <w:t>a portfolio of Underlying Instruments that comprise:</w:t>
      </w:r>
    </w:p>
    <w:p w14:paraId="374BC872" w14:textId="77777777" w:rsidR="001D4D61" w:rsidRPr="009E3D0F" w:rsidRDefault="001D4D61" w:rsidP="001D4D61">
      <w:pPr>
        <w:pStyle w:val="List2"/>
        <w:rPr>
          <w:sz w:val="16"/>
          <w:szCs w:val="16"/>
        </w:rPr>
      </w:pPr>
      <w:r w:rsidRPr="009E3D0F">
        <w:rPr>
          <w:sz w:val="16"/>
          <w:szCs w:val="16"/>
        </w:rPr>
        <w:t>(i)</w:t>
      </w:r>
      <w:r w:rsidRPr="009E3D0F">
        <w:rPr>
          <w:sz w:val="16"/>
          <w:szCs w:val="16"/>
        </w:rPr>
        <w:tab/>
        <w:t>investment grade debt;</w:t>
      </w:r>
    </w:p>
    <w:p w14:paraId="7155A018" w14:textId="77777777" w:rsidR="001D4D61" w:rsidRPr="009E3D0F" w:rsidRDefault="001D4D61" w:rsidP="001D4D61">
      <w:pPr>
        <w:pStyle w:val="List2"/>
        <w:rPr>
          <w:sz w:val="16"/>
          <w:szCs w:val="16"/>
        </w:rPr>
      </w:pPr>
      <w:r w:rsidRPr="009E3D0F">
        <w:rPr>
          <w:sz w:val="16"/>
          <w:szCs w:val="16"/>
        </w:rPr>
        <w:t>(ii)</w:t>
      </w:r>
      <w:r w:rsidRPr="009E3D0F">
        <w:rPr>
          <w:sz w:val="16"/>
          <w:szCs w:val="16"/>
        </w:rPr>
        <w:tab/>
        <w:t>high yield corporate debt; or</w:t>
      </w:r>
    </w:p>
    <w:p w14:paraId="7CEBA67C" w14:textId="77777777" w:rsidR="001D4D61" w:rsidRPr="009E3D0F" w:rsidRDefault="001D4D61" w:rsidP="001D4D61">
      <w:pPr>
        <w:pStyle w:val="List2"/>
        <w:rPr>
          <w:sz w:val="16"/>
          <w:szCs w:val="16"/>
        </w:rPr>
      </w:pPr>
      <w:r w:rsidRPr="009E3D0F">
        <w:rPr>
          <w:sz w:val="16"/>
          <w:szCs w:val="16"/>
        </w:rPr>
        <w:t>(iii)</w:t>
      </w:r>
      <w:r w:rsidRPr="009E3D0F">
        <w:rPr>
          <w:sz w:val="16"/>
          <w:szCs w:val="16"/>
        </w:rPr>
        <w:tab/>
        <w:t>mortgage or asset backed securities;</w:t>
      </w:r>
    </w:p>
    <w:p w14:paraId="775EE74B" w14:textId="77777777" w:rsidR="001D4D61" w:rsidRPr="009E3D0F" w:rsidRDefault="001D4D61" w:rsidP="001D4D61">
      <w:pPr>
        <w:pStyle w:val="List"/>
        <w:rPr>
          <w:sz w:val="16"/>
          <w:szCs w:val="16"/>
        </w:rPr>
      </w:pPr>
      <w:r w:rsidRPr="009E3D0F">
        <w:rPr>
          <w:sz w:val="16"/>
          <w:szCs w:val="16"/>
        </w:rPr>
        <w:t>(b)</w:t>
      </w:r>
      <w:r w:rsidRPr="009E3D0F">
        <w:rPr>
          <w:sz w:val="16"/>
          <w:szCs w:val="16"/>
        </w:rPr>
        <w:tab/>
        <w:t>where no one issuer of the Underlying Instruments accounts for more than 10% of the net asset value of the portfolio; and</w:t>
      </w:r>
    </w:p>
    <w:p w14:paraId="1A4BE451" w14:textId="3F7C781E" w:rsidR="001D4D61" w:rsidRPr="009E3D0F" w:rsidRDefault="001D4D61" w:rsidP="009E3D0F">
      <w:pPr>
        <w:pStyle w:val="List"/>
        <w:rPr>
          <w:sz w:val="16"/>
          <w:szCs w:val="16"/>
        </w:rPr>
      </w:pPr>
      <w:r w:rsidRPr="009E3D0F">
        <w:rPr>
          <w:sz w:val="16"/>
          <w:szCs w:val="16"/>
        </w:rPr>
        <w:t>(c)</w:t>
      </w:r>
      <w:r w:rsidRPr="009E3D0F">
        <w:rPr>
          <w:sz w:val="16"/>
          <w:szCs w:val="16"/>
        </w:rPr>
        <w:tab/>
        <w:t>where the Underlying Instruments are subject to a Reliable Pricing Framework.</w:t>
      </w:r>
    </w:p>
  </w:footnote>
  <w:footnote w:id="7">
    <w:p w14:paraId="35EAFF52" w14:textId="77777777" w:rsidR="001D4D61" w:rsidRPr="009E3D0F" w:rsidRDefault="001D4D61" w:rsidP="009E3D0F">
      <w:pPr>
        <w:pStyle w:val="Clause"/>
        <w:spacing w:after="0"/>
        <w:rPr>
          <w:rFonts w:ascii="Calibri" w:hAnsi="Calibri" w:cs="Calibri"/>
          <w:sz w:val="16"/>
          <w:szCs w:val="16"/>
        </w:rPr>
      </w:pPr>
      <w:r w:rsidRPr="009E3D0F">
        <w:rPr>
          <w:rStyle w:val="FootnoteReference"/>
          <w:rFonts w:ascii="Calibri" w:hAnsi="Calibri" w:cs="Calibri"/>
        </w:rPr>
        <w:footnoteRef/>
      </w:r>
      <w:r w:rsidRPr="009E3D0F">
        <w:rPr>
          <w:rFonts w:ascii="Calibri" w:hAnsi="Calibri" w:cs="Calibri"/>
        </w:rPr>
        <w:t xml:space="preserve"> </w:t>
      </w:r>
      <w:r w:rsidRPr="009E3D0F">
        <w:rPr>
          <w:rFonts w:ascii="Calibri" w:hAnsi="Calibri" w:cs="Calibri"/>
          <w:sz w:val="16"/>
          <w:szCs w:val="16"/>
        </w:rPr>
        <w:t>For the purpose of paragraph (a) of the definition of “Eligible Crypto-asset”, the following Crypto-assets are specified:</w:t>
      </w:r>
    </w:p>
    <w:p w14:paraId="1351B8B2" w14:textId="77777777" w:rsidR="001D4D61" w:rsidRPr="009E3D0F" w:rsidRDefault="001D4D61" w:rsidP="001D4D61">
      <w:pPr>
        <w:pStyle w:val="List"/>
        <w:rPr>
          <w:sz w:val="16"/>
          <w:szCs w:val="16"/>
        </w:rPr>
      </w:pPr>
      <w:r w:rsidRPr="009E3D0F">
        <w:rPr>
          <w:sz w:val="16"/>
          <w:szCs w:val="16"/>
        </w:rPr>
        <w:t>(a)</w:t>
      </w:r>
      <w:r w:rsidRPr="009E3D0F">
        <w:rPr>
          <w:sz w:val="16"/>
          <w:szCs w:val="16"/>
        </w:rPr>
        <w:tab/>
        <w:t>bitcoin (BTC); and</w:t>
      </w:r>
    </w:p>
    <w:p w14:paraId="41273837" w14:textId="77777777" w:rsidR="001D4D61" w:rsidRPr="009E3D0F" w:rsidRDefault="001D4D61" w:rsidP="001D4D61">
      <w:pPr>
        <w:pStyle w:val="List"/>
        <w:rPr>
          <w:sz w:val="16"/>
          <w:szCs w:val="16"/>
        </w:rPr>
      </w:pPr>
      <w:r w:rsidRPr="009E3D0F">
        <w:rPr>
          <w:sz w:val="16"/>
          <w:szCs w:val="16"/>
        </w:rPr>
        <w:t>(b)</w:t>
      </w:r>
      <w:r w:rsidRPr="009E3D0F">
        <w:rPr>
          <w:sz w:val="16"/>
          <w:szCs w:val="16"/>
        </w:rPr>
        <w:tab/>
        <w:t>ether (ETH).</w:t>
      </w:r>
    </w:p>
    <w:p w14:paraId="4262DC1D" w14:textId="3B7295D6" w:rsidR="001D4D61" w:rsidRPr="009E3D0F" w:rsidRDefault="001D4D61">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17"/>
    </w:tblGrid>
    <w:tr w:rsidR="00A8469C" w14:paraId="1294A671" w14:textId="77777777" w:rsidTr="00D358A5">
      <w:trPr>
        <w:trHeight w:hRule="exact" w:val="1361"/>
      </w:trPr>
      <w:tc>
        <w:tcPr>
          <w:tcW w:w="9617" w:type="dxa"/>
        </w:tcPr>
        <w:p w14:paraId="3122794F" w14:textId="77777777" w:rsidR="00A8469C" w:rsidRDefault="00524E20" w:rsidP="00AE1221">
          <w:pPr>
            <w:pStyle w:val="Header"/>
            <w:tabs>
              <w:tab w:val="left" w:pos="3015"/>
            </w:tabs>
            <w:jc w:val="right"/>
          </w:pPr>
          <w:r>
            <w:rPr>
              <w:noProof/>
              <w:lang w:eastAsia="en-AU"/>
            </w:rPr>
            <w:drawing>
              <wp:anchor distT="0" distB="0" distL="114300" distR="114300" simplePos="0" relativeHeight="251661824" behindDoc="1" locked="0" layoutInCell="0" allowOverlap="0" wp14:anchorId="501871E4" wp14:editId="54D612B7">
                <wp:simplePos x="0" y="0"/>
                <wp:positionH relativeFrom="column">
                  <wp:posOffset>5638507</wp:posOffset>
                </wp:positionH>
                <wp:positionV relativeFrom="page">
                  <wp:posOffset>387709</wp:posOffset>
                </wp:positionV>
                <wp:extent cx="403200" cy="625975"/>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403200" cy="625975"/>
                        </a:xfrm>
                        <a:prstGeom prst="rect">
                          <a:avLst/>
                        </a:prstGeom>
                      </pic:spPr>
                    </pic:pic>
                  </a:graphicData>
                </a:graphic>
                <wp14:sizeRelH relativeFrom="margin">
                  <wp14:pctWidth>0</wp14:pctWidth>
                </wp14:sizeRelH>
                <wp14:sizeRelV relativeFrom="margin">
                  <wp14:pctHeight>0</wp14:pctHeight>
                </wp14:sizeRelV>
              </wp:anchor>
            </w:drawing>
          </w:r>
        </w:p>
      </w:tc>
    </w:tr>
  </w:tbl>
  <w:p w14:paraId="6BC1EF40" w14:textId="77777777" w:rsidR="00927A2E" w:rsidRDefault="00927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116800" w14:paraId="38EE58B2" w14:textId="77777777" w:rsidTr="00DF42E8">
      <w:trPr>
        <w:trHeight w:val="1134"/>
      </w:trPr>
      <w:tc>
        <w:tcPr>
          <w:tcW w:w="9837" w:type="dxa"/>
          <w:vAlign w:val="bottom"/>
        </w:tcPr>
        <w:p w14:paraId="29944A2D" w14:textId="77777777" w:rsidR="00116800" w:rsidRDefault="00116800" w:rsidP="00116800">
          <w:pPr>
            <w:pStyle w:val="Header"/>
            <w:tabs>
              <w:tab w:val="left" w:pos="3015"/>
            </w:tabs>
            <w:jc w:val="right"/>
          </w:pPr>
          <w:bookmarkStart w:id="1" w:name="_Hlk490663109"/>
          <w:r>
            <w:rPr>
              <w:noProof/>
              <w:lang w:eastAsia="en-AU"/>
            </w:rPr>
            <w:drawing>
              <wp:anchor distT="0" distB="0" distL="114300" distR="114300" simplePos="0" relativeHeight="251658752" behindDoc="1" locked="1" layoutInCell="0" allowOverlap="0" wp14:anchorId="3398DCFC" wp14:editId="0A62759C">
                <wp:simplePos x="0" y="0"/>
                <wp:positionH relativeFrom="column">
                  <wp:posOffset>5655945</wp:posOffset>
                </wp:positionH>
                <wp:positionV relativeFrom="page">
                  <wp:posOffset>387985</wp:posOffset>
                </wp:positionV>
                <wp:extent cx="402590" cy="624840"/>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402590" cy="624840"/>
                        </a:xfrm>
                        <a:prstGeom prst="rect">
                          <a:avLst/>
                        </a:prstGeom>
                      </pic:spPr>
                    </pic:pic>
                  </a:graphicData>
                </a:graphic>
                <wp14:sizeRelH relativeFrom="margin">
                  <wp14:pctWidth>0</wp14:pctWidth>
                </wp14:sizeRelH>
                <wp14:sizeRelV relativeFrom="margin">
                  <wp14:pctHeight>0</wp14:pctHeight>
                </wp14:sizeRelV>
              </wp:anchor>
            </w:drawing>
          </w:r>
        </w:p>
      </w:tc>
    </w:tr>
    <w:bookmarkEnd w:id="1"/>
  </w:tbl>
  <w:p w14:paraId="2ACD6EEB" w14:textId="77777777" w:rsidR="00927A2E" w:rsidRDefault="00927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3F2C43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9841F6E"/>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5EB24A9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2"/>
    <w:multiLevelType w:val="singleLevel"/>
    <w:tmpl w:val="B6BCEE7A"/>
    <w:lvl w:ilvl="0">
      <w:start w:val="1"/>
      <w:numFmt w:val="bullet"/>
      <w:lvlText w:val=""/>
      <w:lvlJc w:val="left"/>
      <w:pPr>
        <w:ind w:left="1040" w:hanging="360"/>
      </w:pPr>
      <w:rPr>
        <w:rFonts w:ascii="Symbol" w:hAnsi="Symbol" w:hint="default"/>
        <w:color w:val="000000" w:themeColor="text1"/>
      </w:rPr>
    </w:lvl>
  </w:abstractNum>
  <w:abstractNum w:abstractNumId="4" w15:restartNumberingAfterBreak="0">
    <w:nsid w:val="FFFFFF83"/>
    <w:multiLevelType w:val="singleLevel"/>
    <w:tmpl w:val="118C6EE0"/>
    <w:lvl w:ilvl="0">
      <w:start w:val="1"/>
      <w:numFmt w:val="bullet"/>
      <w:lvlText w:val="–"/>
      <w:lvlJc w:val="left"/>
      <w:pPr>
        <w:ind w:left="643" w:hanging="360"/>
      </w:pPr>
      <w:rPr>
        <w:rFonts w:ascii="Arial" w:hAnsi="Arial" w:hint="default"/>
        <w:color w:val="009FDF" w:themeColor="accent2"/>
      </w:rPr>
    </w:lvl>
  </w:abstractNum>
  <w:abstractNum w:abstractNumId="5" w15:restartNumberingAfterBreak="0">
    <w:nsid w:val="FFFFFF88"/>
    <w:multiLevelType w:val="singleLevel"/>
    <w:tmpl w:val="42342830"/>
    <w:lvl w:ilvl="0">
      <w:start w:val="1"/>
      <w:numFmt w:val="decimal"/>
      <w:lvlText w:val="%1."/>
      <w:lvlJc w:val="left"/>
      <w:pPr>
        <w:tabs>
          <w:tab w:val="num" w:pos="360"/>
        </w:tabs>
        <w:ind w:left="360" w:hanging="360"/>
      </w:pPr>
    </w:lvl>
  </w:abstractNum>
  <w:abstractNum w:abstractNumId="6" w15:restartNumberingAfterBreak="0">
    <w:nsid w:val="0352056A"/>
    <w:multiLevelType w:val="hybridMultilevel"/>
    <w:tmpl w:val="EC343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0D2D4C"/>
    <w:multiLevelType w:val="hybridMultilevel"/>
    <w:tmpl w:val="346A2A9A"/>
    <w:lvl w:ilvl="0" w:tplc="C47C3B4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1F0D88"/>
    <w:multiLevelType w:val="multilevel"/>
    <w:tmpl w:val="03EA7870"/>
    <w:styleLink w:val="ASXNumPara"/>
    <w:lvl w:ilvl="0">
      <w:start w:val="1"/>
      <w:numFmt w:val="decimal"/>
      <w:lvlText w:val="%1."/>
      <w:lvlJc w:val="left"/>
      <w:pPr>
        <w:tabs>
          <w:tab w:val="num" w:pos="567"/>
        </w:tabs>
        <w:ind w:left="567" w:hanging="567"/>
      </w:pPr>
      <w:rPr>
        <w:rFonts w:hint="default"/>
      </w:rPr>
    </w:lvl>
    <w:lvl w:ilvl="1">
      <w:start w:val="1"/>
      <w:numFmt w:val="decimal"/>
      <w:lvlText w:val="%1.%2"/>
      <w:lvlJc w:val="left"/>
      <w:pPr>
        <w:ind w:left="567" w:firstLine="0"/>
      </w:pPr>
      <w:rPr>
        <w:rFonts w:hint="default"/>
      </w:rPr>
    </w:lvl>
    <w:lvl w:ilvl="2">
      <w:start w:val="1"/>
      <w:numFmt w:val="lowerLetter"/>
      <w:lvlText w:val="(%3)"/>
      <w:lvlJc w:val="left"/>
      <w:pPr>
        <w:tabs>
          <w:tab w:val="num" w:pos="567"/>
        </w:tabs>
        <w:ind w:left="567" w:firstLine="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B9C0AC7"/>
    <w:multiLevelType w:val="multilevel"/>
    <w:tmpl w:val="67FCCA5A"/>
    <w:lvl w:ilvl="0">
      <w:start w:val="1"/>
      <w:numFmt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Times New Roman" w:hAnsi="Times New Roman" w:cs="Times New Roman" w:hint="default"/>
        <w:color w:val="auto"/>
      </w:rPr>
    </w:lvl>
    <w:lvl w:ilvl="3">
      <w:start w:val="1"/>
      <w:numFmt w:val="bullet"/>
      <w:lvlText w:val="-"/>
      <w:lvlJc w:val="left"/>
      <w:pPr>
        <w:tabs>
          <w:tab w:val="num" w:pos="1134"/>
        </w:tabs>
        <w:ind w:left="1134" w:hanging="283"/>
      </w:pPr>
      <w:rPr>
        <w:rFonts w:ascii="Arial" w:hAnsi="Aria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124230D4"/>
    <w:multiLevelType w:val="multilevel"/>
    <w:tmpl w:val="4F803F0C"/>
    <w:styleLink w:val="Bullets"/>
    <w:lvl w:ilvl="0">
      <w:start w:val="1"/>
      <w:numFmt w:val="bullet"/>
      <w:lvlText w:val=""/>
      <w:lvlJc w:val="left"/>
      <w:pPr>
        <w:ind w:left="360" w:hanging="360"/>
      </w:pPr>
      <w:rPr>
        <w:rFonts w:ascii="Symbol" w:hAnsi="Symbol" w:hint="default"/>
        <w:color w:val="009FDF" w:themeColor="accent2"/>
      </w:rPr>
    </w:lvl>
    <w:lvl w:ilvl="1">
      <w:start w:val="1"/>
      <w:numFmt w:val="bullet"/>
      <w:lvlText w:val="–"/>
      <w:lvlJc w:val="left"/>
      <w:pPr>
        <w:ind w:left="851" w:hanging="284"/>
      </w:pPr>
      <w:rPr>
        <w:rFonts w:ascii="Century Gothic" w:hAnsi="Century Gothic" w:hint="default"/>
        <w:color w:val="auto"/>
      </w:rPr>
    </w:lvl>
    <w:lvl w:ilvl="2">
      <w:start w:val="1"/>
      <w:numFmt w:val="bullet"/>
      <w:lvlText w:val="˃"/>
      <w:lvlJc w:val="left"/>
      <w:pPr>
        <w:ind w:left="1418" w:hanging="284"/>
      </w:pPr>
      <w:rPr>
        <w:rFonts w:ascii="Times New Roman" w:hAnsi="Times New Roman" w:cs="Times New Roman" w:hint="default"/>
        <w:color w:val="auto"/>
      </w:rPr>
    </w:lvl>
    <w:lvl w:ilvl="3">
      <w:start w:val="1"/>
      <w:numFmt w:val="none"/>
      <w:lvlText w:val=""/>
      <w:lvlJc w:val="left"/>
      <w:pPr>
        <w:ind w:left="1985" w:hanging="284"/>
      </w:pPr>
      <w:rPr>
        <w:rFonts w:hint="default"/>
      </w:rPr>
    </w:lvl>
    <w:lvl w:ilvl="4">
      <w:start w:val="1"/>
      <w:numFmt w:val="none"/>
      <w:lvlText w:val=""/>
      <w:lvlJc w:val="left"/>
      <w:pPr>
        <w:ind w:left="2552" w:hanging="284"/>
      </w:pPr>
      <w:rPr>
        <w:rFonts w:hint="default"/>
      </w:rPr>
    </w:lvl>
    <w:lvl w:ilvl="5">
      <w:start w:val="1"/>
      <w:numFmt w:val="none"/>
      <w:lvlText w:val=""/>
      <w:lvlJc w:val="left"/>
      <w:pPr>
        <w:ind w:left="3119" w:hanging="284"/>
      </w:pPr>
      <w:rPr>
        <w:rFonts w:hint="default"/>
      </w:rPr>
    </w:lvl>
    <w:lvl w:ilvl="6">
      <w:start w:val="1"/>
      <w:numFmt w:val="none"/>
      <w:lvlText w:val=""/>
      <w:lvlJc w:val="left"/>
      <w:pPr>
        <w:ind w:left="3686" w:hanging="284"/>
      </w:pPr>
      <w:rPr>
        <w:rFonts w:hint="default"/>
      </w:rPr>
    </w:lvl>
    <w:lvl w:ilvl="7">
      <w:start w:val="1"/>
      <w:numFmt w:val="none"/>
      <w:lvlText w:val=""/>
      <w:lvlJc w:val="left"/>
      <w:pPr>
        <w:ind w:left="4253" w:hanging="284"/>
      </w:pPr>
      <w:rPr>
        <w:rFonts w:hint="default"/>
      </w:rPr>
    </w:lvl>
    <w:lvl w:ilvl="8">
      <w:start w:val="1"/>
      <w:numFmt w:val="none"/>
      <w:lvlText w:val=""/>
      <w:lvlJc w:val="left"/>
      <w:pPr>
        <w:ind w:left="4820" w:hanging="284"/>
      </w:pPr>
      <w:rPr>
        <w:rFonts w:hint="default"/>
      </w:rPr>
    </w:lvl>
  </w:abstractNum>
  <w:abstractNum w:abstractNumId="11" w15:restartNumberingAfterBreak="0">
    <w:nsid w:val="1537075D"/>
    <w:multiLevelType w:val="multilevel"/>
    <w:tmpl w:val="4E46211A"/>
    <w:numStyleLink w:val="BulletList"/>
  </w:abstractNum>
  <w:abstractNum w:abstractNumId="12" w15:restartNumberingAfterBreak="0">
    <w:nsid w:val="18442A25"/>
    <w:multiLevelType w:val="hybridMultilevel"/>
    <w:tmpl w:val="85F23A94"/>
    <w:lvl w:ilvl="0" w:tplc="C6509862">
      <w:start w:val="2"/>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E224519"/>
    <w:multiLevelType w:val="multilevel"/>
    <w:tmpl w:val="D9BCB5B2"/>
    <w:lvl w:ilvl="0">
      <w:start w:val="1"/>
      <w:numFmt w:val="decimal"/>
      <w:lvlText w:val="%1."/>
      <w:lvlJc w:val="left"/>
      <w:pPr>
        <w:ind w:left="369" w:hanging="369"/>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none"/>
      <w:lvlText w:val=""/>
      <w:lvlJc w:val="righ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right"/>
      <w:pPr>
        <w:ind w:left="369" w:hanging="369"/>
      </w:pPr>
      <w:rPr>
        <w:rFonts w:hint="default"/>
      </w:rPr>
    </w:lvl>
  </w:abstractNum>
  <w:abstractNum w:abstractNumId="14" w15:restartNumberingAfterBreak="0">
    <w:nsid w:val="2B534C45"/>
    <w:multiLevelType w:val="multilevel"/>
    <w:tmpl w:val="67FCCA5A"/>
    <w:lvl w:ilvl="0">
      <w:start w:val="1"/>
      <w:numFmt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Times New Roman" w:hAnsi="Times New Roman" w:cs="Times New Roman" w:hint="default"/>
        <w:color w:val="auto"/>
      </w:rPr>
    </w:lvl>
    <w:lvl w:ilvl="3">
      <w:start w:val="1"/>
      <w:numFmt w:val="bullet"/>
      <w:lvlText w:val="-"/>
      <w:lvlJc w:val="left"/>
      <w:pPr>
        <w:tabs>
          <w:tab w:val="num" w:pos="1134"/>
        </w:tabs>
        <w:ind w:left="1134" w:hanging="283"/>
      </w:pPr>
      <w:rPr>
        <w:rFonts w:ascii="Arial" w:hAnsi="Aria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B800968"/>
    <w:multiLevelType w:val="multilevel"/>
    <w:tmpl w:val="A0766EA2"/>
    <w:lvl w:ilvl="0">
      <w:start w:val="1"/>
      <w:numFmt w:val="decimal"/>
      <w:pStyle w:val="NumberedHeading1"/>
      <w:lvlText w:val="%1."/>
      <w:lvlJc w:val="left"/>
      <w:pPr>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pStyle w:val="NumberedHeading3"/>
      <w:lvlText w:val="%1.%2.%3"/>
      <w:lvlJc w:val="left"/>
      <w:pPr>
        <w:ind w:left="680" w:hanging="680"/>
      </w:pPr>
      <w:rPr>
        <w:rFonts w:hint="default"/>
      </w:rPr>
    </w:lvl>
    <w:lvl w:ilvl="3">
      <w:start w:val="1"/>
      <w:numFmt w:val="decimal"/>
      <w:pStyle w:val="NumberedHeading4"/>
      <w:lvlText w:val="%1.%2.%3.%4"/>
      <w:lvlJc w:val="left"/>
      <w:pPr>
        <w:ind w:left="794" w:hanging="794"/>
      </w:pPr>
      <w:rPr>
        <w:rFonts w:hint="default"/>
      </w:rPr>
    </w:lvl>
    <w:lvl w:ilvl="4">
      <w:start w:val="1"/>
      <w:numFmt w:val="decimal"/>
      <w:pStyle w:val="NumberedHeading5"/>
      <w:lvlText w:val="%1.%2.%3.%4.%5"/>
      <w:lvlJc w:val="left"/>
      <w:pPr>
        <w:ind w:left="794" w:hanging="794"/>
      </w:pPr>
      <w:rPr>
        <w:rFonts w:hint="default"/>
      </w:rPr>
    </w:lvl>
    <w:lvl w:ilvl="5">
      <w:start w:val="1"/>
      <w:numFmt w:val="none"/>
      <w:lvlText w:val=""/>
      <w:lvlJc w:val="righ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right"/>
      <w:pPr>
        <w:ind w:left="369" w:hanging="369"/>
      </w:pPr>
      <w:rPr>
        <w:rFonts w:hint="default"/>
      </w:rPr>
    </w:lvl>
  </w:abstractNum>
  <w:abstractNum w:abstractNumId="16" w15:restartNumberingAfterBreak="0">
    <w:nsid w:val="330A3FCA"/>
    <w:multiLevelType w:val="multilevel"/>
    <w:tmpl w:val="4E46211A"/>
    <w:styleLink w:val="BulletList"/>
    <w:lvl w:ilvl="0">
      <w:start w:val="1"/>
      <w:numFmt w:val="bullet"/>
      <w:pStyle w:val="ListBullet"/>
      <w:lvlText w:val=""/>
      <w:lvlJc w:val="left"/>
      <w:pPr>
        <w:ind w:left="340" w:hanging="340"/>
      </w:pPr>
      <w:rPr>
        <w:rFonts w:ascii="Symbol" w:hAnsi="Symbol" w:hint="default"/>
        <w:color w:val="009FDF" w:themeColor="accent2"/>
        <w:sz w:val="17"/>
      </w:rPr>
    </w:lvl>
    <w:lvl w:ilvl="1">
      <w:start w:val="1"/>
      <w:numFmt w:val="bullet"/>
      <w:lvlRestart w:val="0"/>
      <w:pStyle w:val="ListBullet2"/>
      <w:lvlText w:val="•"/>
      <w:lvlJc w:val="left"/>
      <w:pPr>
        <w:ind w:left="680" w:hanging="340"/>
      </w:pPr>
      <w:rPr>
        <w:rFonts w:ascii="Courier New" w:hAnsi="Courier New" w:hint="default"/>
        <w:color w:val="009FDF" w:themeColor="accent2"/>
      </w:rPr>
    </w:lvl>
    <w:lvl w:ilvl="2">
      <w:start w:val="1"/>
      <w:numFmt w:val="bullet"/>
      <w:lvlRestart w:val="0"/>
      <w:pStyle w:val="ListBullet3"/>
      <w:lvlText w:val="‒"/>
      <w:lvlJc w:val="left"/>
      <w:pPr>
        <w:ind w:left="1021" w:hanging="341"/>
      </w:pPr>
      <w:rPr>
        <w:rFonts w:ascii="Arial" w:hAnsi="Arial" w:hint="default"/>
        <w:color w:val="009FDF" w:themeColor="accent2"/>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7" w15:restartNumberingAfterBreak="0">
    <w:nsid w:val="3C677811"/>
    <w:multiLevelType w:val="hybridMultilevel"/>
    <w:tmpl w:val="0E1C98C6"/>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C927DFE"/>
    <w:multiLevelType w:val="multilevel"/>
    <w:tmpl w:val="5E123CF0"/>
    <w:lvl w:ilvl="0">
      <w:start w:val="1"/>
      <w:numFmt w:val="decimal"/>
      <w:lvlText w:val="%1."/>
      <w:lvlJc w:val="left"/>
      <w:pPr>
        <w:tabs>
          <w:tab w:val="num" w:pos="567"/>
        </w:tabs>
        <w:ind w:left="567" w:hanging="567"/>
      </w:pPr>
      <w:rPr>
        <w:rFonts w:hint="default"/>
      </w:rPr>
    </w:lvl>
    <w:lvl w:ilvl="1">
      <w:start w:val="1"/>
      <w:numFmt w:val="decimal"/>
      <w:lvlText w:val="%1.%2"/>
      <w:lvlJc w:val="left"/>
      <w:pPr>
        <w:ind w:left="567" w:firstLine="0"/>
      </w:pPr>
      <w:rPr>
        <w:rFonts w:hint="default"/>
      </w:rPr>
    </w:lvl>
    <w:lvl w:ilvl="2">
      <w:start w:val="1"/>
      <w:numFmt w:val="lowerLetter"/>
      <w:lvlText w:val="(%3)"/>
      <w:lvlJc w:val="left"/>
      <w:pPr>
        <w:tabs>
          <w:tab w:val="num" w:pos="567"/>
        </w:tabs>
        <w:ind w:left="567" w:firstLine="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4024550"/>
    <w:multiLevelType w:val="multilevel"/>
    <w:tmpl w:val="69DCBC88"/>
    <w:styleLink w:val="NumberedHeadings"/>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0" w15:restartNumberingAfterBreak="0">
    <w:nsid w:val="51E20843"/>
    <w:multiLevelType w:val="hybridMultilevel"/>
    <w:tmpl w:val="7A905D62"/>
    <w:lvl w:ilvl="0" w:tplc="2090BF62">
      <w:start w:val="1"/>
      <w:numFmt w:val="bullet"/>
      <w:lvlText w:val=""/>
      <w:lvlJc w:val="left"/>
      <w:pPr>
        <w:ind w:left="1400" w:hanging="360"/>
      </w:pPr>
      <w:rPr>
        <w:rFonts w:ascii="Symbol" w:hAnsi="Symbol" w:hint="default"/>
        <w:color w:val="000000" w:themeColor="text2"/>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21" w15:restartNumberingAfterBreak="0">
    <w:nsid w:val="5C1A2A84"/>
    <w:multiLevelType w:val="multilevel"/>
    <w:tmpl w:val="03E016F4"/>
    <w:lvl w:ilvl="0">
      <w:start w:val="1"/>
      <w:numFmt w:val="decimal"/>
      <w:lvlText w:val="%1."/>
      <w:lvlJc w:val="left"/>
      <w:pPr>
        <w:tabs>
          <w:tab w:val="num" w:pos="567"/>
        </w:tabs>
        <w:ind w:left="567" w:hanging="567"/>
      </w:pPr>
      <w:rPr>
        <w:rFonts w:hint="default"/>
      </w:rPr>
    </w:lvl>
    <w:lvl w:ilvl="1">
      <w:start w:val="1"/>
      <w:numFmt w:val="decimal"/>
      <w:lvlText w:val="%1.%2"/>
      <w:lvlJc w:val="left"/>
      <w:pPr>
        <w:ind w:left="567" w:firstLine="0"/>
      </w:pPr>
      <w:rPr>
        <w:rFonts w:hint="default"/>
      </w:rPr>
    </w:lvl>
    <w:lvl w:ilvl="2">
      <w:start w:val="1"/>
      <w:numFmt w:val="lowerLetter"/>
      <w:lvlText w:val="(%3)"/>
      <w:lvlJc w:val="left"/>
      <w:pPr>
        <w:tabs>
          <w:tab w:val="num" w:pos="567"/>
        </w:tabs>
        <w:ind w:left="567" w:firstLine="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1764472"/>
    <w:multiLevelType w:val="hybridMultilevel"/>
    <w:tmpl w:val="7C4AC8E2"/>
    <w:lvl w:ilvl="0" w:tplc="267CCC3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D84FEB"/>
    <w:multiLevelType w:val="multilevel"/>
    <w:tmpl w:val="4E46211A"/>
    <w:numStyleLink w:val="BulletList"/>
  </w:abstractNum>
  <w:abstractNum w:abstractNumId="24" w15:restartNumberingAfterBreak="0">
    <w:nsid w:val="633822AE"/>
    <w:multiLevelType w:val="hybridMultilevel"/>
    <w:tmpl w:val="05E69C8E"/>
    <w:lvl w:ilvl="0" w:tplc="961E81A2">
      <w:start w:val="1"/>
      <w:numFmt w:val="bullet"/>
      <w:lvlText w:val="–"/>
      <w:lvlJc w:val="left"/>
      <w:pPr>
        <w:ind w:left="1060" w:hanging="360"/>
      </w:pPr>
      <w:rPr>
        <w:rFonts w:ascii="Arial" w:hAnsi="Arial" w:hint="default"/>
        <w:color w:val="009FDF" w:themeColor="accent2"/>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5" w15:restartNumberingAfterBreak="0">
    <w:nsid w:val="75D96379"/>
    <w:multiLevelType w:val="multilevel"/>
    <w:tmpl w:val="F3F6B178"/>
    <w:lvl w:ilvl="0">
      <w:start w:val="1"/>
      <w:numFmt w:val="decimal"/>
      <w:pStyle w:val="ListNumber"/>
      <w:lvlText w:val="%1."/>
      <w:lvlJc w:val="left"/>
      <w:pPr>
        <w:ind w:left="340" w:hanging="340"/>
      </w:pPr>
      <w:rPr>
        <w:rFonts w:asciiTheme="minorHAnsi" w:hAnsiTheme="minorHAnsi" w:hint="default"/>
        <w:sz w:val="18"/>
      </w:rPr>
    </w:lvl>
    <w:lvl w:ilvl="1">
      <w:start w:val="1"/>
      <w:numFmt w:val="decimal"/>
      <w:pStyle w:val="ListNumber2"/>
      <w:lvlText w:val="%1.%2"/>
      <w:lvlJc w:val="left"/>
      <w:pPr>
        <w:ind w:left="680" w:hanging="340"/>
      </w:pPr>
      <w:rPr>
        <w:rFonts w:asciiTheme="minorHAnsi" w:hAnsiTheme="minorHAnsi" w:hint="default"/>
        <w:sz w:val="18"/>
      </w:rPr>
    </w:lvl>
    <w:lvl w:ilvl="2">
      <w:start w:val="1"/>
      <w:numFmt w:val="lowerLetter"/>
      <w:pStyle w:val="ListNumber3"/>
      <w:lvlText w:val="%3."/>
      <w:lvlJc w:val="left"/>
      <w:pPr>
        <w:ind w:left="1021" w:hanging="341"/>
      </w:pPr>
      <w:rPr>
        <w:rFonts w:asciiTheme="minorHAnsi" w:hAnsiTheme="minorHAnsi" w:hint="default"/>
        <w:sz w:val="18"/>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6" w15:restartNumberingAfterBreak="0">
    <w:nsid w:val="7780467F"/>
    <w:multiLevelType w:val="multilevel"/>
    <w:tmpl w:val="66484BB2"/>
    <w:lvl w:ilvl="0">
      <w:start w:val="1"/>
      <w:numFmt w:val="decimal"/>
      <w:lvlText w:val="%1."/>
      <w:lvlJc w:val="left"/>
      <w:pPr>
        <w:ind w:left="369" w:hanging="369"/>
      </w:pPr>
      <w:rPr>
        <w:rFonts w:hint="default"/>
      </w:rPr>
    </w:lvl>
    <w:lvl w:ilvl="1">
      <w:start w:val="1"/>
      <w:numFmt w:val="decimal"/>
      <w:lvlText w:val="%1.%2."/>
      <w:lvlJc w:val="left"/>
      <w:pPr>
        <w:ind w:left="369" w:hanging="369"/>
      </w:pPr>
      <w:rPr>
        <w:rFonts w:hint="default"/>
      </w:rPr>
    </w:lvl>
    <w:lvl w:ilvl="2">
      <w:start w:val="1"/>
      <w:numFmt w:val="decimal"/>
      <w:lvlText w:val="%1.%2.%3."/>
      <w:lvlJc w:val="left"/>
      <w:pPr>
        <w:ind w:left="369" w:hanging="369"/>
      </w:pPr>
      <w:rPr>
        <w:rFonts w:hint="default"/>
      </w:rPr>
    </w:lvl>
    <w:lvl w:ilvl="3">
      <w:start w:val="1"/>
      <w:numFmt w:val="none"/>
      <w:lvlText w:val=""/>
      <w:lvlJc w:val="left"/>
      <w:pPr>
        <w:ind w:left="369" w:hanging="369"/>
      </w:pPr>
      <w:rPr>
        <w:rFonts w:hint="default"/>
      </w:rPr>
    </w:lvl>
    <w:lvl w:ilvl="4">
      <w:start w:val="1"/>
      <w:numFmt w:val="none"/>
      <w:lvlText w:val=""/>
      <w:lvlJc w:val="left"/>
      <w:pPr>
        <w:ind w:left="369" w:hanging="369"/>
      </w:pPr>
      <w:rPr>
        <w:rFonts w:hint="default"/>
      </w:rPr>
    </w:lvl>
    <w:lvl w:ilvl="5">
      <w:start w:val="1"/>
      <w:numFmt w:val="none"/>
      <w:lvlText w:val=""/>
      <w:lvlJc w:val="righ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right"/>
      <w:pPr>
        <w:ind w:left="369" w:hanging="369"/>
      </w:pPr>
      <w:rPr>
        <w:rFonts w:hint="default"/>
      </w:rPr>
    </w:lvl>
  </w:abstractNum>
  <w:num w:numId="1">
    <w:abstractNumId w:val="19"/>
  </w:num>
  <w:num w:numId="2">
    <w:abstractNumId w:val="8"/>
  </w:num>
  <w:num w:numId="3">
    <w:abstractNumId w:val="10"/>
  </w:num>
  <w:num w:numId="4">
    <w:abstractNumId w:val="10"/>
  </w:num>
  <w:num w:numId="5">
    <w:abstractNumId w:val="26"/>
  </w:num>
  <w:num w:numId="6">
    <w:abstractNumId w:val="8"/>
  </w:num>
  <w:num w:numId="7">
    <w:abstractNumId w:val="18"/>
  </w:num>
  <w:num w:numId="8">
    <w:abstractNumId w:val="21"/>
  </w:num>
  <w:num w:numId="9">
    <w:abstractNumId w:val="21"/>
  </w:num>
  <w:num w:numId="10">
    <w:abstractNumId w:val="14"/>
  </w:num>
  <w:num w:numId="11">
    <w:abstractNumId w:val="9"/>
  </w:num>
  <w:num w:numId="12">
    <w:abstractNumId w:val="5"/>
  </w:num>
  <w:num w:numId="13">
    <w:abstractNumId w:val="4"/>
  </w:num>
  <w:num w:numId="14">
    <w:abstractNumId w:val="3"/>
  </w:num>
  <w:num w:numId="15">
    <w:abstractNumId w:val="15"/>
  </w:num>
  <w:num w:numId="16">
    <w:abstractNumId w:val="15"/>
  </w:num>
  <w:num w:numId="17">
    <w:abstractNumId w:val="15"/>
  </w:num>
  <w:num w:numId="18">
    <w:abstractNumId w:val="15"/>
  </w:num>
  <w:num w:numId="19">
    <w:abstractNumId w:val="15"/>
  </w:num>
  <w:num w:numId="20">
    <w:abstractNumId w:val="16"/>
  </w:num>
  <w:num w:numId="21">
    <w:abstractNumId w:val="24"/>
  </w:num>
  <w:num w:numId="22">
    <w:abstractNumId w:val="16"/>
  </w:num>
  <w:num w:numId="23">
    <w:abstractNumId w:val="25"/>
  </w:num>
  <w:num w:numId="24">
    <w:abstractNumId w:val="1"/>
  </w:num>
  <w:num w:numId="25">
    <w:abstractNumId w:val="25"/>
  </w:num>
  <w:num w:numId="26">
    <w:abstractNumId w:val="0"/>
  </w:num>
  <w:num w:numId="27">
    <w:abstractNumId w:val="25"/>
  </w:num>
  <w:num w:numId="28">
    <w:abstractNumId w:val="20"/>
  </w:num>
  <w:num w:numId="29">
    <w:abstractNumId w:val="20"/>
  </w:num>
  <w:num w:numId="30">
    <w:abstractNumId w:val="16"/>
  </w:num>
  <w:num w:numId="31">
    <w:abstractNumId w:val="23"/>
  </w:num>
  <w:num w:numId="32">
    <w:abstractNumId w:val="23"/>
  </w:num>
  <w:num w:numId="33">
    <w:abstractNumId w:val="23"/>
  </w:num>
  <w:num w:numId="34">
    <w:abstractNumId w:val="13"/>
  </w:num>
  <w:num w:numId="35">
    <w:abstractNumId w:val="16"/>
  </w:num>
  <w:num w:numId="36">
    <w:abstractNumId w:val="11"/>
  </w:num>
  <w:num w:numId="37">
    <w:abstractNumId w:val="11"/>
  </w:num>
  <w:num w:numId="38">
    <w:abstractNumId w:val="11"/>
  </w:num>
  <w:num w:numId="39">
    <w:abstractNumId w:val="12"/>
  </w:num>
  <w:num w:numId="40">
    <w:abstractNumId w:val="17"/>
  </w:num>
  <w:num w:numId="41">
    <w:abstractNumId w:val="2"/>
  </w:num>
  <w:num w:numId="42">
    <w:abstractNumId w:val="22"/>
  </w:num>
  <w:num w:numId="43">
    <w:abstractNumId w:val="7"/>
  </w:num>
  <w:num w:numId="4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357"/>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6CC"/>
    <w:rsid w:val="00000433"/>
    <w:rsid w:val="00000434"/>
    <w:rsid w:val="00002CBA"/>
    <w:rsid w:val="00003FD6"/>
    <w:rsid w:val="00006D48"/>
    <w:rsid w:val="00011424"/>
    <w:rsid w:val="0001288A"/>
    <w:rsid w:val="00013C8D"/>
    <w:rsid w:val="00017E68"/>
    <w:rsid w:val="00021482"/>
    <w:rsid w:val="0002340A"/>
    <w:rsid w:val="00024B27"/>
    <w:rsid w:val="00025935"/>
    <w:rsid w:val="00025C3D"/>
    <w:rsid w:val="00027634"/>
    <w:rsid w:val="0003008A"/>
    <w:rsid w:val="00037324"/>
    <w:rsid w:val="00037C43"/>
    <w:rsid w:val="00037C4C"/>
    <w:rsid w:val="00041B44"/>
    <w:rsid w:val="00041EDF"/>
    <w:rsid w:val="00042E11"/>
    <w:rsid w:val="00046218"/>
    <w:rsid w:val="00053BEA"/>
    <w:rsid w:val="00053F58"/>
    <w:rsid w:val="00055569"/>
    <w:rsid w:val="00056290"/>
    <w:rsid w:val="000610EA"/>
    <w:rsid w:val="00062A53"/>
    <w:rsid w:val="00062B77"/>
    <w:rsid w:val="00062C5E"/>
    <w:rsid w:val="000632A2"/>
    <w:rsid w:val="000633C8"/>
    <w:rsid w:val="000638F3"/>
    <w:rsid w:val="00064CCB"/>
    <w:rsid w:val="00066A75"/>
    <w:rsid w:val="000672C4"/>
    <w:rsid w:val="0006739A"/>
    <w:rsid w:val="0007053A"/>
    <w:rsid w:val="00070C38"/>
    <w:rsid w:val="000716C4"/>
    <w:rsid w:val="00076423"/>
    <w:rsid w:val="000775EC"/>
    <w:rsid w:val="00081877"/>
    <w:rsid w:val="0008354D"/>
    <w:rsid w:val="00087E1D"/>
    <w:rsid w:val="00090F1A"/>
    <w:rsid w:val="00091276"/>
    <w:rsid w:val="00094214"/>
    <w:rsid w:val="000A39C1"/>
    <w:rsid w:val="000A3EE7"/>
    <w:rsid w:val="000B3B36"/>
    <w:rsid w:val="000B4BDF"/>
    <w:rsid w:val="000B5D92"/>
    <w:rsid w:val="000B7170"/>
    <w:rsid w:val="000C3D5E"/>
    <w:rsid w:val="000C533A"/>
    <w:rsid w:val="000C73B5"/>
    <w:rsid w:val="000D08F8"/>
    <w:rsid w:val="000D1D31"/>
    <w:rsid w:val="000D20F8"/>
    <w:rsid w:val="000D3F15"/>
    <w:rsid w:val="000D4310"/>
    <w:rsid w:val="000D4EDC"/>
    <w:rsid w:val="000D509D"/>
    <w:rsid w:val="000E0B3C"/>
    <w:rsid w:val="000E7292"/>
    <w:rsid w:val="000F0DDD"/>
    <w:rsid w:val="000F2126"/>
    <w:rsid w:val="000F4C44"/>
    <w:rsid w:val="000F56FB"/>
    <w:rsid w:val="000F6388"/>
    <w:rsid w:val="000F7356"/>
    <w:rsid w:val="00101AA3"/>
    <w:rsid w:val="0010428D"/>
    <w:rsid w:val="00105A4E"/>
    <w:rsid w:val="00105BBD"/>
    <w:rsid w:val="001061BC"/>
    <w:rsid w:val="001067C4"/>
    <w:rsid w:val="00110FF8"/>
    <w:rsid w:val="001144FF"/>
    <w:rsid w:val="00114CCF"/>
    <w:rsid w:val="00115606"/>
    <w:rsid w:val="00116800"/>
    <w:rsid w:val="0012162C"/>
    <w:rsid w:val="00124A82"/>
    <w:rsid w:val="00126245"/>
    <w:rsid w:val="00127594"/>
    <w:rsid w:val="00131CDB"/>
    <w:rsid w:val="0013296B"/>
    <w:rsid w:val="00133BB0"/>
    <w:rsid w:val="00134137"/>
    <w:rsid w:val="00135CC7"/>
    <w:rsid w:val="00141E8C"/>
    <w:rsid w:val="00141FC2"/>
    <w:rsid w:val="00142595"/>
    <w:rsid w:val="001433CB"/>
    <w:rsid w:val="00143711"/>
    <w:rsid w:val="00143C4D"/>
    <w:rsid w:val="001467B3"/>
    <w:rsid w:val="00146F39"/>
    <w:rsid w:val="00151854"/>
    <w:rsid w:val="00152D9C"/>
    <w:rsid w:val="00156B80"/>
    <w:rsid w:val="00157F85"/>
    <w:rsid w:val="00161F1F"/>
    <w:rsid w:val="00161FBA"/>
    <w:rsid w:val="00162206"/>
    <w:rsid w:val="001624BB"/>
    <w:rsid w:val="00164711"/>
    <w:rsid w:val="00166DF1"/>
    <w:rsid w:val="001722F4"/>
    <w:rsid w:val="00181DF2"/>
    <w:rsid w:val="0018211D"/>
    <w:rsid w:val="00183398"/>
    <w:rsid w:val="001847A1"/>
    <w:rsid w:val="001903D8"/>
    <w:rsid w:val="00190FA8"/>
    <w:rsid w:val="001926EE"/>
    <w:rsid w:val="00193936"/>
    <w:rsid w:val="001A1D39"/>
    <w:rsid w:val="001A2F12"/>
    <w:rsid w:val="001A4137"/>
    <w:rsid w:val="001B03E2"/>
    <w:rsid w:val="001B17BE"/>
    <w:rsid w:val="001B2979"/>
    <w:rsid w:val="001B4B78"/>
    <w:rsid w:val="001B5045"/>
    <w:rsid w:val="001B5751"/>
    <w:rsid w:val="001B67A1"/>
    <w:rsid w:val="001C038F"/>
    <w:rsid w:val="001C1C2A"/>
    <w:rsid w:val="001C326D"/>
    <w:rsid w:val="001C3575"/>
    <w:rsid w:val="001C3A8B"/>
    <w:rsid w:val="001C4A10"/>
    <w:rsid w:val="001C59E6"/>
    <w:rsid w:val="001C62D6"/>
    <w:rsid w:val="001C6A87"/>
    <w:rsid w:val="001C72DB"/>
    <w:rsid w:val="001C7852"/>
    <w:rsid w:val="001D2D76"/>
    <w:rsid w:val="001D3808"/>
    <w:rsid w:val="001D4A60"/>
    <w:rsid w:val="001D4D61"/>
    <w:rsid w:val="001E008A"/>
    <w:rsid w:val="001E2367"/>
    <w:rsid w:val="001F2F30"/>
    <w:rsid w:val="001F6E41"/>
    <w:rsid w:val="00201C52"/>
    <w:rsid w:val="00202091"/>
    <w:rsid w:val="002045C9"/>
    <w:rsid w:val="002076C6"/>
    <w:rsid w:val="0021162E"/>
    <w:rsid w:val="00211BA2"/>
    <w:rsid w:val="00212BFE"/>
    <w:rsid w:val="00212DF4"/>
    <w:rsid w:val="00213A70"/>
    <w:rsid w:val="00215CCE"/>
    <w:rsid w:val="00221082"/>
    <w:rsid w:val="002222FA"/>
    <w:rsid w:val="00222D67"/>
    <w:rsid w:val="00224DC1"/>
    <w:rsid w:val="0022536A"/>
    <w:rsid w:val="00226433"/>
    <w:rsid w:val="0022768B"/>
    <w:rsid w:val="002276DE"/>
    <w:rsid w:val="00235DBD"/>
    <w:rsid w:val="00237FDF"/>
    <w:rsid w:val="00241517"/>
    <w:rsid w:val="002432B5"/>
    <w:rsid w:val="002448B8"/>
    <w:rsid w:val="00244D02"/>
    <w:rsid w:val="00254822"/>
    <w:rsid w:val="002605C5"/>
    <w:rsid w:val="00260813"/>
    <w:rsid w:val="00260D1C"/>
    <w:rsid w:val="00262386"/>
    <w:rsid w:val="002626FD"/>
    <w:rsid w:val="002660BB"/>
    <w:rsid w:val="00270F6A"/>
    <w:rsid w:val="00277455"/>
    <w:rsid w:val="00281133"/>
    <w:rsid w:val="002823F9"/>
    <w:rsid w:val="00282927"/>
    <w:rsid w:val="0028457D"/>
    <w:rsid w:val="002848F0"/>
    <w:rsid w:val="00291694"/>
    <w:rsid w:val="00291D09"/>
    <w:rsid w:val="00292ABB"/>
    <w:rsid w:val="002A022F"/>
    <w:rsid w:val="002A5130"/>
    <w:rsid w:val="002A6568"/>
    <w:rsid w:val="002B3FB0"/>
    <w:rsid w:val="002B4C97"/>
    <w:rsid w:val="002B5611"/>
    <w:rsid w:val="002B5FD8"/>
    <w:rsid w:val="002C00DC"/>
    <w:rsid w:val="002C1ADB"/>
    <w:rsid w:val="002C3B21"/>
    <w:rsid w:val="002C3E43"/>
    <w:rsid w:val="002C66FA"/>
    <w:rsid w:val="002C6AFA"/>
    <w:rsid w:val="002C7B7A"/>
    <w:rsid w:val="002C7D05"/>
    <w:rsid w:val="002D455A"/>
    <w:rsid w:val="002E205B"/>
    <w:rsid w:val="002E4BEF"/>
    <w:rsid w:val="002F04F5"/>
    <w:rsid w:val="002F107F"/>
    <w:rsid w:val="002F671F"/>
    <w:rsid w:val="002F7ADA"/>
    <w:rsid w:val="00303487"/>
    <w:rsid w:val="00304837"/>
    <w:rsid w:val="00304DBC"/>
    <w:rsid w:val="00305DA4"/>
    <w:rsid w:val="00306410"/>
    <w:rsid w:val="0030779B"/>
    <w:rsid w:val="0031185E"/>
    <w:rsid w:val="0031342B"/>
    <w:rsid w:val="00315395"/>
    <w:rsid w:val="00317FEB"/>
    <w:rsid w:val="00321393"/>
    <w:rsid w:val="00321A60"/>
    <w:rsid w:val="00322DE8"/>
    <w:rsid w:val="003251A2"/>
    <w:rsid w:val="0033209A"/>
    <w:rsid w:val="0033211B"/>
    <w:rsid w:val="00340BAA"/>
    <w:rsid w:val="00343253"/>
    <w:rsid w:val="0034343C"/>
    <w:rsid w:val="0034439C"/>
    <w:rsid w:val="00346DD3"/>
    <w:rsid w:val="003524F9"/>
    <w:rsid w:val="00352738"/>
    <w:rsid w:val="00353CD7"/>
    <w:rsid w:val="00356A93"/>
    <w:rsid w:val="00363ED8"/>
    <w:rsid w:val="00367E7D"/>
    <w:rsid w:val="00370081"/>
    <w:rsid w:val="003754E6"/>
    <w:rsid w:val="00376295"/>
    <w:rsid w:val="00376DFE"/>
    <w:rsid w:val="00377A14"/>
    <w:rsid w:val="003804E3"/>
    <w:rsid w:val="00382753"/>
    <w:rsid w:val="00384A34"/>
    <w:rsid w:val="00390F05"/>
    <w:rsid w:val="003923F8"/>
    <w:rsid w:val="00392E23"/>
    <w:rsid w:val="003933BC"/>
    <w:rsid w:val="003968F3"/>
    <w:rsid w:val="00396AD6"/>
    <w:rsid w:val="00397922"/>
    <w:rsid w:val="00397F9D"/>
    <w:rsid w:val="003A00E3"/>
    <w:rsid w:val="003B2A89"/>
    <w:rsid w:val="003B2B1C"/>
    <w:rsid w:val="003B5487"/>
    <w:rsid w:val="003B5C77"/>
    <w:rsid w:val="003C022E"/>
    <w:rsid w:val="003C182D"/>
    <w:rsid w:val="003C23BD"/>
    <w:rsid w:val="003C38D5"/>
    <w:rsid w:val="003C3DDB"/>
    <w:rsid w:val="003C4574"/>
    <w:rsid w:val="003C5166"/>
    <w:rsid w:val="003C6341"/>
    <w:rsid w:val="003C66A3"/>
    <w:rsid w:val="003C6DD9"/>
    <w:rsid w:val="003C79E2"/>
    <w:rsid w:val="003D4F2D"/>
    <w:rsid w:val="003D50E7"/>
    <w:rsid w:val="003D6774"/>
    <w:rsid w:val="003D7E8B"/>
    <w:rsid w:val="003E3551"/>
    <w:rsid w:val="003E45E7"/>
    <w:rsid w:val="003E4D40"/>
    <w:rsid w:val="003E6688"/>
    <w:rsid w:val="003F01AB"/>
    <w:rsid w:val="003F0239"/>
    <w:rsid w:val="003F6503"/>
    <w:rsid w:val="003F6929"/>
    <w:rsid w:val="003F6E25"/>
    <w:rsid w:val="00402165"/>
    <w:rsid w:val="00402820"/>
    <w:rsid w:val="004032C3"/>
    <w:rsid w:val="0040438D"/>
    <w:rsid w:val="004109FD"/>
    <w:rsid w:val="00413431"/>
    <w:rsid w:val="004139DA"/>
    <w:rsid w:val="00414D4A"/>
    <w:rsid w:val="0041542C"/>
    <w:rsid w:val="00416774"/>
    <w:rsid w:val="00421398"/>
    <w:rsid w:val="00426027"/>
    <w:rsid w:val="0042793C"/>
    <w:rsid w:val="0043625A"/>
    <w:rsid w:val="0043683D"/>
    <w:rsid w:val="00436DC6"/>
    <w:rsid w:val="004373B7"/>
    <w:rsid w:val="0044192E"/>
    <w:rsid w:val="004419F4"/>
    <w:rsid w:val="00443F84"/>
    <w:rsid w:val="0044528D"/>
    <w:rsid w:val="00446761"/>
    <w:rsid w:val="004516D6"/>
    <w:rsid w:val="00451F6F"/>
    <w:rsid w:val="00452468"/>
    <w:rsid w:val="00455FD5"/>
    <w:rsid w:val="004618C7"/>
    <w:rsid w:val="00462333"/>
    <w:rsid w:val="00470DEF"/>
    <w:rsid w:val="00471A27"/>
    <w:rsid w:val="00474545"/>
    <w:rsid w:val="00477461"/>
    <w:rsid w:val="00483C67"/>
    <w:rsid w:val="00485130"/>
    <w:rsid w:val="004939DE"/>
    <w:rsid w:val="00495474"/>
    <w:rsid w:val="00496080"/>
    <w:rsid w:val="00496550"/>
    <w:rsid w:val="004A1C18"/>
    <w:rsid w:val="004A6A96"/>
    <w:rsid w:val="004B2911"/>
    <w:rsid w:val="004B3B14"/>
    <w:rsid w:val="004C349A"/>
    <w:rsid w:val="004C3FA6"/>
    <w:rsid w:val="004C4A98"/>
    <w:rsid w:val="004C4E2D"/>
    <w:rsid w:val="004D115B"/>
    <w:rsid w:val="004D4F71"/>
    <w:rsid w:val="004D545E"/>
    <w:rsid w:val="004E0A8C"/>
    <w:rsid w:val="004E5D1E"/>
    <w:rsid w:val="004F0766"/>
    <w:rsid w:val="004F1CBD"/>
    <w:rsid w:val="004F20EE"/>
    <w:rsid w:val="004F25FE"/>
    <w:rsid w:val="004F4068"/>
    <w:rsid w:val="004F4608"/>
    <w:rsid w:val="004F7E73"/>
    <w:rsid w:val="004F7ECB"/>
    <w:rsid w:val="005043D8"/>
    <w:rsid w:val="00504EBA"/>
    <w:rsid w:val="00507213"/>
    <w:rsid w:val="00511785"/>
    <w:rsid w:val="005118C1"/>
    <w:rsid w:val="00514963"/>
    <w:rsid w:val="00516F0A"/>
    <w:rsid w:val="00517165"/>
    <w:rsid w:val="00520E4A"/>
    <w:rsid w:val="00520F17"/>
    <w:rsid w:val="0052358A"/>
    <w:rsid w:val="00524E20"/>
    <w:rsid w:val="00525197"/>
    <w:rsid w:val="00531A40"/>
    <w:rsid w:val="00531FD7"/>
    <w:rsid w:val="00532A3D"/>
    <w:rsid w:val="00533C90"/>
    <w:rsid w:val="00533FF1"/>
    <w:rsid w:val="0054007A"/>
    <w:rsid w:val="00541257"/>
    <w:rsid w:val="00556879"/>
    <w:rsid w:val="00561F28"/>
    <w:rsid w:val="005625EC"/>
    <w:rsid w:val="0056325B"/>
    <w:rsid w:val="005717ED"/>
    <w:rsid w:val="005721DF"/>
    <w:rsid w:val="00573B2F"/>
    <w:rsid w:val="00575190"/>
    <w:rsid w:val="00576ADF"/>
    <w:rsid w:val="00581C56"/>
    <w:rsid w:val="00585F98"/>
    <w:rsid w:val="005A0BFB"/>
    <w:rsid w:val="005A1267"/>
    <w:rsid w:val="005A58AC"/>
    <w:rsid w:val="005A635B"/>
    <w:rsid w:val="005A777C"/>
    <w:rsid w:val="005A7F41"/>
    <w:rsid w:val="005B05C8"/>
    <w:rsid w:val="005B21AF"/>
    <w:rsid w:val="005C214A"/>
    <w:rsid w:val="005C265C"/>
    <w:rsid w:val="005C2C62"/>
    <w:rsid w:val="005C2FBD"/>
    <w:rsid w:val="005C39FA"/>
    <w:rsid w:val="005D0576"/>
    <w:rsid w:val="005D29B9"/>
    <w:rsid w:val="005E056D"/>
    <w:rsid w:val="005E0853"/>
    <w:rsid w:val="005E1CB2"/>
    <w:rsid w:val="005E5EAC"/>
    <w:rsid w:val="005E6986"/>
    <w:rsid w:val="005E6E24"/>
    <w:rsid w:val="005F0F12"/>
    <w:rsid w:val="005F32FC"/>
    <w:rsid w:val="00600727"/>
    <w:rsid w:val="00600DB8"/>
    <w:rsid w:val="006013C7"/>
    <w:rsid w:val="00601687"/>
    <w:rsid w:val="00602008"/>
    <w:rsid w:val="00602819"/>
    <w:rsid w:val="0060325D"/>
    <w:rsid w:val="00603398"/>
    <w:rsid w:val="006049BA"/>
    <w:rsid w:val="006056A1"/>
    <w:rsid w:val="00617878"/>
    <w:rsid w:val="00620918"/>
    <w:rsid w:val="00624D8C"/>
    <w:rsid w:val="00625796"/>
    <w:rsid w:val="006306FA"/>
    <w:rsid w:val="00633FF9"/>
    <w:rsid w:val="006367B1"/>
    <w:rsid w:val="006373F7"/>
    <w:rsid w:val="006379A4"/>
    <w:rsid w:val="00640FC8"/>
    <w:rsid w:val="0064244F"/>
    <w:rsid w:val="0064296A"/>
    <w:rsid w:val="00642C36"/>
    <w:rsid w:val="0064315A"/>
    <w:rsid w:val="00643B02"/>
    <w:rsid w:val="00646046"/>
    <w:rsid w:val="00652F9A"/>
    <w:rsid w:val="00655968"/>
    <w:rsid w:val="006559B9"/>
    <w:rsid w:val="00655A56"/>
    <w:rsid w:val="006568EB"/>
    <w:rsid w:val="00660988"/>
    <w:rsid w:val="00660B7C"/>
    <w:rsid w:val="006611CC"/>
    <w:rsid w:val="00670A13"/>
    <w:rsid w:val="00670E4C"/>
    <w:rsid w:val="00672359"/>
    <w:rsid w:val="00674F19"/>
    <w:rsid w:val="00676BED"/>
    <w:rsid w:val="0067725E"/>
    <w:rsid w:val="0067785B"/>
    <w:rsid w:val="00681690"/>
    <w:rsid w:val="00682B51"/>
    <w:rsid w:val="00686A9D"/>
    <w:rsid w:val="00687DAF"/>
    <w:rsid w:val="00690D7D"/>
    <w:rsid w:val="0069230E"/>
    <w:rsid w:val="00693C48"/>
    <w:rsid w:val="00694274"/>
    <w:rsid w:val="00694CD2"/>
    <w:rsid w:val="00697E56"/>
    <w:rsid w:val="006A0139"/>
    <w:rsid w:val="006A2C92"/>
    <w:rsid w:val="006A6AB2"/>
    <w:rsid w:val="006A78D8"/>
    <w:rsid w:val="006B2E20"/>
    <w:rsid w:val="006B3637"/>
    <w:rsid w:val="006B3D04"/>
    <w:rsid w:val="006B62C9"/>
    <w:rsid w:val="006C4317"/>
    <w:rsid w:val="006C582E"/>
    <w:rsid w:val="006D1E26"/>
    <w:rsid w:val="006D2281"/>
    <w:rsid w:val="006D3A06"/>
    <w:rsid w:val="006D6BCF"/>
    <w:rsid w:val="006D7E70"/>
    <w:rsid w:val="006E0B43"/>
    <w:rsid w:val="006E406E"/>
    <w:rsid w:val="006E5B27"/>
    <w:rsid w:val="006E7DF7"/>
    <w:rsid w:val="006E7E64"/>
    <w:rsid w:val="006F1283"/>
    <w:rsid w:val="006F213F"/>
    <w:rsid w:val="006F267D"/>
    <w:rsid w:val="006F2CF3"/>
    <w:rsid w:val="006F43F0"/>
    <w:rsid w:val="006F4C02"/>
    <w:rsid w:val="006F69A1"/>
    <w:rsid w:val="007009D4"/>
    <w:rsid w:val="00704656"/>
    <w:rsid w:val="007100EB"/>
    <w:rsid w:val="00711A05"/>
    <w:rsid w:val="00711F83"/>
    <w:rsid w:val="00712B68"/>
    <w:rsid w:val="00716C11"/>
    <w:rsid w:val="007226FA"/>
    <w:rsid w:val="00723858"/>
    <w:rsid w:val="007240BA"/>
    <w:rsid w:val="00726116"/>
    <w:rsid w:val="00731D22"/>
    <w:rsid w:val="007322E8"/>
    <w:rsid w:val="007337BF"/>
    <w:rsid w:val="00733FB3"/>
    <w:rsid w:val="00734E83"/>
    <w:rsid w:val="00741FC8"/>
    <w:rsid w:val="00743BBC"/>
    <w:rsid w:val="00744BB1"/>
    <w:rsid w:val="00745B7D"/>
    <w:rsid w:val="00747E6C"/>
    <w:rsid w:val="00750402"/>
    <w:rsid w:val="00753FCD"/>
    <w:rsid w:val="00757828"/>
    <w:rsid w:val="0076102C"/>
    <w:rsid w:val="007622C0"/>
    <w:rsid w:val="0076233A"/>
    <w:rsid w:val="00763242"/>
    <w:rsid w:val="00766884"/>
    <w:rsid w:val="0077475C"/>
    <w:rsid w:val="007754EB"/>
    <w:rsid w:val="00776581"/>
    <w:rsid w:val="007767E5"/>
    <w:rsid w:val="00776E1D"/>
    <w:rsid w:val="00777C6F"/>
    <w:rsid w:val="007821DD"/>
    <w:rsid w:val="00782316"/>
    <w:rsid w:val="0078286A"/>
    <w:rsid w:val="00786325"/>
    <w:rsid w:val="007900A8"/>
    <w:rsid w:val="00792953"/>
    <w:rsid w:val="0079308C"/>
    <w:rsid w:val="00796E7F"/>
    <w:rsid w:val="007A06DF"/>
    <w:rsid w:val="007A13D5"/>
    <w:rsid w:val="007A4F68"/>
    <w:rsid w:val="007A6133"/>
    <w:rsid w:val="007A6BC1"/>
    <w:rsid w:val="007B56C7"/>
    <w:rsid w:val="007B63A8"/>
    <w:rsid w:val="007B76D3"/>
    <w:rsid w:val="007C01ED"/>
    <w:rsid w:val="007C2C7D"/>
    <w:rsid w:val="007C4392"/>
    <w:rsid w:val="007C44E0"/>
    <w:rsid w:val="007C5229"/>
    <w:rsid w:val="007C7384"/>
    <w:rsid w:val="007D3FF4"/>
    <w:rsid w:val="007D61CA"/>
    <w:rsid w:val="007D6757"/>
    <w:rsid w:val="007E2523"/>
    <w:rsid w:val="007E47F6"/>
    <w:rsid w:val="007E7721"/>
    <w:rsid w:val="007F0261"/>
    <w:rsid w:val="007F0A79"/>
    <w:rsid w:val="007F1F64"/>
    <w:rsid w:val="007F5735"/>
    <w:rsid w:val="007F58FE"/>
    <w:rsid w:val="00806C8F"/>
    <w:rsid w:val="00806D6F"/>
    <w:rsid w:val="00807155"/>
    <w:rsid w:val="00813BA1"/>
    <w:rsid w:val="00813C27"/>
    <w:rsid w:val="00814D38"/>
    <w:rsid w:val="00814EBD"/>
    <w:rsid w:val="00815E70"/>
    <w:rsid w:val="008252BC"/>
    <w:rsid w:val="0082549C"/>
    <w:rsid w:val="00825B53"/>
    <w:rsid w:val="008316F8"/>
    <w:rsid w:val="00831928"/>
    <w:rsid w:val="00831C82"/>
    <w:rsid w:val="00832B67"/>
    <w:rsid w:val="008335F7"/>
    <w:rsid w:val="00834711"/>
    <w:rsid w:val="00834C5E"/>
    <w:rsid w:val="00836E8E"/>
    <w:rsid w:val="008377CD"/>
    <w:rsid w:val="00840379"/>
    <w:rsid w:val="00840C4A"/>
    <w:rsid w:val="0084208B"/>
    <w:rsid w:val="008504F1"/>
    <w:rsid w:val="00855770"/>
    <w:rsid w:val="008574B8"/>
    <w:rsid w:val="00861E81"/>
    <w:rsid w:val="0086214A"/>
    <w:rsid w:val="00866941"/>
    <w:rsid w:val="00870F0C"/>
    <w:rsid w:val="00871812"/>
    <w:rsid w:val="0087255C"/>
    <w:rsid w:val="008756CC"/>
    <w:rsid w:val="00877F7F"/>
    <w:rsid w:val="00880CE1"/>
    <w:rsid w:val="00881068"/>
    <w:rsid w:val="00881F50"/>
    <w:rsid w:val="0088274A"/>
    <w:rsid w:val="00886A55"/>
    <w:rsid w:val="00887959"/>
    <w:rsid w:val="00887B79"/>
    <w:rsid w:val="008926AF"/>
    <w:rsid w:val="00895802"/>
    <w:rsid w:val="008961D5"/>
    <w:rsid w:val="008A0D56"/>
    <w:rsid w:val="008A24D7"/>
    <w:rsid w:val="008A667E"/>
    <w:rsid w:val="008A6DA9"/>
    <w:rsid w:val="008A6ECD"/>
    <w:rsid w:val="008B0069"/>
    <w:rsid w:val="008B0A8D"/>
    <w:rsid w:val="008B24AE"/>
    <w:rsid w:val="008B36D4"/>
    <w:rsid w:val="008B3CAF"/>
    <w:rsid w:val="008B4427"/>
    <w:rsid w:val="008C1497"/>
    <w:rsid w:val="008C3FEA"/>
    <w:rsid w:val="008C460A"/>
    <w:rsid w:val="008C5991"/>
    <w:rsid w:val="008C7186"/>
    <w:rsid w:val="008D3353"/>
    <w:rsid w:val="008D46C5"/>
    <w:rsid w:val="008E042B"/>
    <w:rsid w:val="008E0558"/>
    <w:rsid w:val="008E0B36"/>
    <w:rsid w:val="008E0DF8"/>
    <w:rsid w:val="008E41A6"/>
    <w:rsid w:val="008E7ED3"/>
    <w:rsid w:val="008F08F4"/>
    <w:rsid w:val="008F10CE"/>
    <w:rsid w:val="008F1AA7"/>
    <w:rsid w:val="008F20A0"/>
    <w:rsid w:val="008F20AF"/>
    <w:rsid w:val="008F27FE"/>
    <w:rsid w:val="009015D3"/>
    <w:rsid w:val="00901F63"/>
    <w:rsid w:val="0090340F"/>
    <w:rsid w:val="00906E48"/>
    <w:rsid w:val="00907717"/>
    <w:rsid w:val="00914D32"/>
    <w:rsid w:val="00915467"/>
    <w:rsid w:val="00916F76"/>
    <w:rsid w:val="00917E9E"/>
    <w:rsid w:val="00920A0A"/>
    <w:rsid w:val="009219BB"/>
    <w:rsid w:val="00924129"/>
    <w:rsid w:val="00924E30"/>
    <w:rsid w:val="0092570C"/>
    <w:rsid w:val="009259DF"/>
    <w:rsid w:val="00927A2E"/>
    <w:rsid w:val="00930B5C"/>
    <w:rsid w:val="00930E8F"/>
    <w:rsid w:val="00933304"/>
    <w:rsid w:val="009418EC"/>
    <w:rsid w:val="00941A0F"/>
    <w:rsid w:val="00943F51"/>
    <w:rsid w:val="009446A8"/>
    <w:rsid w:val="009531A8"/>
    <w:rsid w:val="00953623"/>
    <w:rsid w:val="00953BB3"/>
    <w:rsid w:val="00957746"/>
    <w:rsid w:val="0096025B"/>
    <w:rsid w:val="009650EA"/>
    <w:rsid w:val="00965CF3"/>
    <w:rsid w:val="00966155"/>
    <w:rsid w:val="00966B7B"/>
    <w:rsid w:val="009707B1"/>
    <w:rsid w:val="00972861"/>
    <w:rsid w:val="00972E8E"/>
    <w:rsid w:val="0097394D"/>
    <w:rsid w:val="0097481E"/>
    <w:rsid w:val="00976F46"/>
    <w:rsid w:val="00977B56"/>
    <w:rsid w:val="00980914"/>
    <w:rsid w:val="00981D93"/>
    <w:rsid w:val="00983B53"/>
    <w:rsid w:val="0098639C"/>
    <w:rsid w:val="00990DA5"/>
    <w:rsid w:val="00993850"/>
    <w:rsid w:val="00993D4E"/>
    <w:rsid w:val="0099687E"/>
    <w:rsid w:val="009A2099"/>
    <w:rsid w:val="009B6EE0"/>
    <w:rsid w:val="009C32C1"/>
    <w:rsid w:val="009C3BA6"/>
    <w:rsid w:val="009C3E4B"/>
    <w:rsid w:val="009C64B9"/>
    <w:rsid w:val="009C6FB0"/>
    <w:rsid w:val="009D1C17"/>
    <w:rsid w:val="009D214B"/>
    <w:rsid w:val="009D27DA"/>
    <w:rsid w:val="009D3E9A"/>
    <w:rsid w:val="009D5BDA"/>
    <w:rsid w:val="009D5F90"/>
    <w:rsid w:val="009E12E1"/>
    <w:rsid w:val="009E1CA4"/>
    <w:rsid w:val="009E38D0"/>
    <w:rsid w:val="009E3C03"/>
    <w:rsid w:val="009E3D0F"/>
    <w:rsid w:val="009F14F2"/>
    <w:rsid w:val="009F3BF9"/>
    <w:rsid w:val="00A008F5"/>
    <w:rsid w:val="00A029BD"/>
    <w:rsid w:val="00A05520"/>
    <w:rsid w:val="00A07D97"/>
    <w:rsid w:val="00A10365"/>
    <w:rsid w:val="00A103A7"/>
    <w:rsid w:val="00A11F04"/>
    <w:rsid w:val="00A15C4A"/>
    <w:rsid w:val="00A16021"/>
    <w:rsid w:val="00A20F55"/>
    <w:rsid w:val="00A23C1D"/>
    <w:rsid w:val="00A2537C"/>
    <w:rsid w:val="00A265A5"/>
    <w:rsid w:val="00A31B1E"/>
    <w:rsid w:val="00A33AE1"/>
    <w:rsid w:val="00A34A67"/>
    <w:rsid w:val="00A365C6"/>
    <w:rsid w:val="00A4190D"/>
    <w:rsid w:val="00A43F15"/>
    <w:rsid w:val="00A47D78"/>
    <w:rsid w:val="00A47DD5"/>
    <w:rsid w:val="00A51F2E"/>
    <w:rsid w:val="00A5234E"/>
    <w:rsid w:val="00A53349"/>
    <w:rsid w:val="00A54308"/>
    <w:rsid w:val="00A54EF9"/>
    <w:rsid w:val="00A57F3E"/>
    <w:rsid w:val="00A610D8"/>
    <w:rsid w:val="00A61432"/>
    <w:rsid w:val="00A61D98"/>
    <w:rsid w:val="00A6490B"/>
    <w:rsid w:val="00A67233"/>
    <w:rsid w:val="00A67EB8"/>
    <w:rsid w:val="00A70D00"/>
    <w:rsid w:val="00A71088"/>
    <w:rsid w:val="00A71AE2"/>
    <w:rsid w:val="00A723C7"/>
    <w:rsid w:val="00A813A3"/>
    <w:rsid w:val="00A821E7"/>
    <w:rsid w:val="00A841FF"/>
    <w:rsid w:val="00A8469C"/>
    <w:rsid w:val="00A86A38"/>
    <w:rsid w:val="00A9004C"/>
    <w:rsid w:val="00A90C6D"/>
    <w:rsid w:val="00A90D77"/>
    <w:rsid w:val="00A95B85"/>
    <w:rsid w:val="00AA1B99"/>
    <w:rsid w:val="00AB093E"/>
    <w:rsid w:val="00AB19F4"/>
    <w:rsid w:val="00AB19F5"/>
    <w:rsid w:val="00AB3D84"/>
    <w:rsid w:val="00AB5AB1"/>
    <w:rsid w:val="00AC0C1F"/>
    <w:rsid w:val="00AC167C"/>
    <w:rsid w:val="00AC1C0A"/>
    <w:rsid w:val="00AC328C"/>
    <w:rsid w:val="00AC4166"/>
    <w:rsid w:val="00AD692D"/>
    <w:rsid w:val="00AD7B29"/>
    <w:rsid w:val="00AE101F"/>
    <w:rsid w:val="00AE1221"/>
    <w:rsid w:val="00AE3D24"/>
    <w:rsid w:val="00AE58F9"/>
    <w:rsid w:val="00AF06D6"/>
    <w:rsid w:val="00AF4543"/>
    <w:rsid w:val="00AF5B14"/>
    <w:rsid w:val="00AF630C"/>
    <w:rsid w:val="00B00BD8"/>
    <w:rsid w:val="00B00EBC"/>
    <w:rsid w:val="00B01A62"/>
    <w:rsid w:val="00B02AEC"/>
    <w:rsid w:val="00B03B86"/>
    <w:rsid w:val="00B073C8"/>
    <w:rsid w:val="00B12552"/>
    <w:rsid w:val="00B14603"/>
    <w:rsid w:val="00B17854"/>
    <w:rsid w:val="00B21A5E"/>
    <w:rsid w:val="00B24280"/>
    <w:rsid w:val="00B2430B"/>
    <w:rsid w:val="00B26F66"/>
    <w:rsid w:val="00B40BC4"/>
    <w:rsid w:val="00B456F1"/>
    <w:rsid w:val="00B45F12"/>
    <w:rsid w:val="00B469C3"/>
    <w:rsid w:val="00B507DC"/>
    <w:rsid w:val="00B5352C"/>
    <w:rsid w:val="00B540F1"/>
    <w:rsid w:val="00B5490E"/>
    <w:rsid w:val="00B61DA9"/>
    <w:rsid w:val="00B64912"/>
    <w:rsid w:val="00B655FE"/>
    <w:rsid w:val="00B65BD0"/>
    <w:rsid w:val="00B7172B"/>
    <w:rsid w:val="00B71BD1"/>
    <w:rsid w:val="00B752B8"/>
    <w:rsid w:val="00B827D5"/>
    <w:rsid w:val="00B834AF"/>
    <w:rsid w:val="00B8439C"/>
    <w:rsid w:val="00B84E47"/>
    <w:rsid w:val="00B87447"/>
    <w:rsid w:val="00B9028D"/>
    <w:rsid w:val="00B9099F"/>
    <w:rsid w:val="00B92CAF"/>
    <w:rsid w:val="00B94229"/>
    <w:rsid w:val="00B946FD"/>
    <w:rsid w:val="00B97797"/>
    <w:rsid w:val="00BA092E"/>
    <w:rsid w:val="00BA13C5"/>
    <w:rsid w:val="00BA3271"/>
    <w:rsid w:val="00BA535C"/>
    <w:rsid w:val="00BA5E12"/>
    <w:rsid w:val="00BA6E55"/>
    <w:rsid w:val="00BB46F4"/>
    <w:rsid w:val="00BC06DD"/>
    <w:rsid w:val="00BC4944"/>
    <w:rsid w:val="00BC7592"/>
    <w:rsid w:val="00BD4BB4"/>
    <w:rsid w:val="00BD513B"/>
    <w:rsid w:val="00BD5B71"/>
    <w:rsid w:val="00BE1AC2"/>
    <w:rsid w:val="00BE2AF2"/>
    <w:rsid w:val="00BE4C3A"/>
    <w:rsid w:val="00BE57F3"/>
    <w:rsid w:val="00BE6935"/>
    <w:rsid w:val="00BF089D"/>
    <w:rsid w:val="00BF1F7E"/>
    <w:rsid w:val="00BF2A88"/>
    <w:rsid w:val="00BF7AA7"/>
    <w:rsid w:val="00C01A83"/>
    <w:rsid w:val="00C021AD"/>
    <w:rsid w:val="00C04D18"/>
    <w:rsid w:val="00C063D2"/>
    <w:rsid w:val="00C12358"/>
    <w:rsid w:val="00C12F99"/>
    <w:rsid w:val="00C15DE2"/>
    <w:rsid w:val="00C20718"/>
    <w:rsid w:val="00C21592"/>
    <w:rsid w:val="00C2239D"/>
    <w:rsid w:val="00C2240C"/>
    <w:rsid w:val="00C245C3"/>
    <w:rsid w:val="00C25CC1"/>
    <w:rsid w:val="00C34896"/>
    <w:rsid w:val="00C35CF7"/>
    <w:rsid w:val="00C36885"/>
    <w:rsid w:val="00C36AE0"/>
    <w:rsid w:val="00C403B2"/>
    <w:rsid w:val="00C415C5"/>
    <w:rsid w:val="00C41C9A"/>
    <w:rsid w:val="00C42D69"/>
    <w:rsid w:val="00C437E1"/>
    <w:rsid w:val="00C448C4"/>
    <w:rsid w:val="00C51E7D"/>
    <w:rsid w:val="00C62C5E"/>
    <w:rsid w:val="00C63174"/>
    <w:rsid w:val="00C734EB"/>
    <w:rsid w:val="00C74246"/>
    <w:rsid w:val="00C7615A"/>
    <w:rsid w:val="00C76272"/>
    <w:rsid w:val="00C833D9"/>
    <w:rsid w:val="00C83446"/>
    <w:rsid w:val="00C91A84"/>
    <w:rsid w:val="00C92EAE"/>
    <w:rsid w:val="00C93CE8"/>
    <w:rsid w:val="00C95A3E"/>
    <w:rsid w:val="00C961F1"/>
    <w:rsid w:val="00CA58E2"/>
    <w:rsid w:val="00CA60C0"/>
    <w:rsid w:val="00CB09FB"/>
    <w:rsid w:val="00CB189E"/>
    <w:rsid w:val="00CB5802"/>
    <w:rsid w:val="00CB5D30"/>
    <w:rsid w:val="00CC052E"/>
    <w:rsid w:val="00CC06C7"/>
    <w:rsid w:val="00CC2379"/>
    <w:rsid w:val="00CC3443"/>
    <w:rsid w:val="00CC3E06"/>
    <w:rsid w:val="00CC42F5"/>
    <w:rsid w:val="00CC64A8"/>
    <w:rsid w:val="00CC784B"/>
    <w:rsid w:val="00CC7AB2"/>
    <w:rsid w:val="00CD2130"/>
    <w:rsid w:val="00CD54FC"/>
    <w:rsid w:val="00CE05AB"/>
    <w:rsid w:val="00CE097F"/>
    <w:rsid w:val="00CE1559"/>
    <w:rsid w:val="00CE39CB"/>
    <w:rsid w:val="00CE7F9A"/>
    <w:rsid w:val="00CF1109"/>
    <w:rsid w:val="00CF178A"/>
    <w:rsid w:val="00CF528E"/>
    <w:rsid w:val="00CF558F"/>
    <w:rsid w:val="00CF7E2E"/>
    <w:rsid w:val="00CF7F20"/>
    <w:rsid w:val="00D04470"/>
    <w:rsid w:val="00D04CB4"/>
    <w:rsid w:val="00D1072C"/>
    <w:rsid w:val="00D14503"/>
    <w:rsid w:val="00D16FD3"/>
    <w:rsid w:val="00D21C4B"/>
    <w:rsid w:val="00D25A9E"/>
    <w:rsid w:val="00D33810"/>
    <w:rsid w:val="00D33F9D"/>
    <w:rsid w:val="00D358A5"/>
    <w:rsid w:val="00D36FA6"/>
    <w:rsid w:val="00D42043"/>
    <w:rsid w:val="00D440B0"/>
    <w:rsid w:val="00D4505D"/>
    <w:rsid w:val="00D45E5A"/>
    <w:rsid w:val="00D468C0"/>
    <w:rsid w:val="00D57FBE"/>
    <w:rsid w:val="00D615EA"/>
    <w:rsid w:val="00D61CB7"/>
    <w:rsid w:val="00D6404E"/>
    <w:rsid w:val="00D640A6"/>
    <w:rsid w:val="00D65DF4"/>
    <w:rsid w:val="00D65F24"/>
    <w:rsid w:val="00D6618C"/>
    <w:rsid w:val="00D665CC"/>
    <w:rsid w:val="00D76428"/>
    <w:rsid w:val="00D76ECA"/>
    <w:rsid w:val="00D81DD8"/>
    <w:rsid w:val="00D82A61"/>
    <w:rsid w:val="00D82C2E"/>
    <w:rsid w:val="00D87714"/>
    <w:rsid w:val="00D9029F"/>
    <w:rsid w:val="00D912D3"/>
    <w:rsid w:val="00D941B1"/>
    <w:rsid w:val="00D952F1"/>
    <w:rsid w:val="00DA3458"/>
    <w:rsid w:val="00DA4858"/>
    <w:rsid w:val="00DA63A3"/>
    <w:rsid w:val="00DB104E"/>
    <w:rsid w:val="00DB1642"/>
    <w:rsid w:val="00DB1F21"/>
    <w:rsid w:val="00DB3182"/>
    <w:rsid w:val="00DB545A"/>
    <w:rsid w:val="00DB7AA3"/>
    <w:rsid w:val="00DC1766"/>
    <w:rsid w:val="00DC2741"/>
    <w:rsid w:val="00DC4E93"/>
    <w:rsid w:val="00DD150A"/>
    <w:rsid w:val="00DD3E95"/>
    <w:rsid w:val="00DD4319"/>
    <w:rsid w:val="00DD5F6B"/>
    <w:rsid w:val="00DD6B60"/>
    <w:rsid w:val="00DE16FE"/>
    <w:rsid w:val="00DE5229"/>
    <w:rsid w:val="00DE5FAB"/>
    <w:rsid w:val="00DF0ED3"/>
    <w:rsid w:val="00DF3322"/>
    <w:rsid w:val="00DF3CFF"/>
    <w:rsid w:val="00DF430D"/>
    <w:rsid w:val="00DF7985"/>
    <w:rsid w:val="00E00A3D"/>
    <w:rsid w:val="00E01FDA"/>
    <w:rsid w:val="00E0231D"/>
    <w:rsid w:val="00E02E4C"/>
    <w:rsid w:val="00E070E9"/>
    <w:rsid w:val="00E123D1"/>
    <w:rsid w:val="00E140A9"/>
    <w:rsid w:val="00E15916"/>
    <w:rsid w:val="00E16503"/>
    <w:rsid w:val="00E17079"/>
    <w:rsid w:val="00E17CF7"/>
    <w:rsid w:val="00E21B42"/>
    <w:rsid w:val="00E27B58"/>
    <w:rsid w:val="00E30B62"/>
    <w:rsid w:val="00E30E90"/>
    <w:rsid w:val="00E33790"/>
    <w:rsid w:val="00E34387"/>
    <w:rsid w:val="00E443BA"/>
    <w:rsid w:val="00E44A0F"/>
    <w:rsid w:val="00E459A1"/>
    <w:rsid w:val="00E4657C"/>
    <w:rsid w:val="00E46B01"/>
    <w:rsid w:val="00E5063D"/>
    <w:rsid w:val="00E5072B"/>
    <w:rsid w:val="00E52184"/>
    <w:rsid w:val="00E531A9"/>
    <w:rsid w:val="00E564E8"/>
    <w:rsid w:val="00E62F24"/>
    <w:rsid w:val="00E6445B"/>
    <w:rsid w:val="00E668AE"/>
    <w:rsid w:val="00E76010"/>
    <w:rsid w:val="00E76C8A"/>
    <w:rsid w:val="00E81DBC"/>
    <w:rsid w:val="00E83B3C"/>
    <w:rsid w:val="00E83D0E"/>
    <w:rsid w:val="00E842B6"/>
    <w:rsid w:val="00E84A6B"/>
    <w:rsid w:val="00E9100A"/>
    <w:rsid w:val="00E92341"/>
    <w:rsid w:val="00EA1AEC"/>
    <w:rsid w:val="00EA3305"/>
    <w:rsid w:val="00EA3BEE"/>
    <w:rsid w:val="00EA42A5"/>
    <w:rsid w:val="00EA5A0B"/>
    <w:rsid w:val="00EB0E2D"/>
    <w:rsid w:val="00EB2316"/>
    <w:rsid w:val="00EB408E"/>
    <w:rsid w:val="00EB4493"/>
    <w:rsid w:val="00EC350C"/>
    <w:rsid w:val="00EC4789"/>
    <w:rsid w:val="00ED071E"/>
    <w:rsid w:val="00ED150C"/>
    <w:rsid w:val="00ED23B3"/>
    <w:rsid w:val="00ED3170"/>
    <w:rsid w:val="00ED4E11"/>
    <w:rsid w:val="00EE1385"/>
    <w:rsid w:val="00EE45EB"/>
    <w:rsid w:val="00EE5B61"/>
    <w:rsid w:val="00EF5D5A"/>
    <w:rsid w:val="00F0274B"/>
    <w:rsid w:val="00F05095"/>
    <w:rsid w:val="00F064DC"/>
    <w:rsid w:val="00F06B8C"/>
    <w:rsid w:val="00F11347"/>
    <w:rsid w:val="00F13064"/>
    <w:rsid w:val="00F16414"/>
    <w:rsid w:val="00F17C01"/>
    <w:rsid w:val="00F20B1B"/>
    <w:rsid w:val="00F20CCC"/>
    <w:rsid w:val="00F22307"/>
    <w:rsid w:val="00F2252E"/>
    <w:rsid w:val="00F22DB0"/>
    <w:rsid w:val="00F262D5"/>
    <w:rsid w:val="00F2657D"/>
    <w:rsid w:val="00F276ED"/>
    <w:rsid w:val="00F335D4"/>
    <w:rsid w:val="00F341E7"/>
    <w:rsid w:val="00F36D2A"/>
    <w:rsid w:val="00F412CC"/>
    <w:rsid w:val="00F41330"/>
    <w:rsid w:val="00F41BA4"/>
    <w:rsid w:val="00F41FE1"/>
    <w:rsid w:val="00F422B4"/>
    <w:rsid w:val="00F4653A"/>
    <w:rsid w:val="00F54A51"/>
    <w:rsid w:val="00F5773B"/>
    <w:rsid w:val="00F62AAA"/>
    <w:rsid w:val="00F66397"/>
    <w:rsid w:val="00F73437"/>
    <w:rsid w:val="00F7498C"/>
    <w:rsid w:val="00F80C81"/>
    <w:rsid w:val="00F81733"/>
    <w:rsid w:val="00F85B8F"/>
    <w:rsid w:val="00F865ED"/>
    <w:rsid w:val="00F877CE"/>
    <w:rsid w:val="00F94FCA"/>
    <w:rsid w:val="00FA01CE"/>
    <w:rsid w:val="00FA0DE0"/>
    <w:rsid w:val="00FA31F7"/>
    <w:rsid w:val="00FA57A0"/>
    <w:rsid w:val="00FB109C"/>
    <w:rsid w:val="00FB3397"/>
    <w:rsid w:val="00FC4ABE"/>
    <w:rsid w:val="00FD373C"/>
    <w:rsid w:val="00FD7CB6"/>
    <w:rsid w:val="00FD7D69"/>
    <w:rsid w:val="00FE2687"/>
    <w:rsid w:val="00FF0AF5"/>
    <w:rsid w:val="00FF5E6D"/>
    <w:rsid w:val="00FF624A"/>
    <w:rsid w:val="00FF6F05"/>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E04F77"/>
  <w15:docId w15:val="{B0F39E66-44CF-4AC2-B2B7-8767B1DF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uiPriority="3" w:qFormat="1"/>
    <w:lsdException w:name="List 2" w:semiHidden="1" w:unhideWhenUsed="1"/>
    <w:lsdException w:name="List 3" w:semiHidden="1" w:unhideWhenUsed="1"/>
    <w:lsdException w:name="List 4" w:semiHidden="1"/>
    <w:lsdException w:name="List 5" w:semiHidden="1"/>
    <w:lsdException w:name="List Bullet 2" w:uiPriority="2" w:qFormat="1"/>
    <w:lsdException w:name="List Bullet 3" w:uiPriority="2" w:qFormat="1"/>
    <w:lsdException w:name="List Bullet 4" w:semiHidden="1" w:unhideWhenUsed="1"/>
    <w:lsdException w:name="List Bullet 5" w:semiHidden="1" w:unhideWhenUsed="1"/>
    <w:lsdException w:name="List Number 2" w:semiHidden="1" w:uiPriority="3" w:unhideWhenUsed="1" w:qFormat="1"/>
    <w:lsdException w:name="List Number 3" w:semiHidden="1" w:uiPriority="3"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8"/>
    <w:lsdException w:name="Table Theme" w:semiHidden="1" w:unhideWhenUsed="1"/>
    <w:lsdException w:name="Placeholder Text" w:semiHidden="1" w:uiPriority="9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6CC"/>
    <w:rPr>
      <w:rFonts w:ascii="Calibri" w:eastAsiaTheme="minorHAnsi" w:hAnsi="Calibri" w:cs="Calibri"/>
      <w:sz w:val="22"/>
      <w:szCs w:val="22"/>
      <w:lang w:eastAsia="en-US"/>
    </w:rPr>
  </w:style>
  <w:style w:type="paragraph" w:styleId="Heading1">
    <w:name w:val="heading 1"/>
    <w:basedOn w:val="Normal"/>
    <w:next w:val="Normal"/>
    <w:uiPriority w:val="1"/>
    <w:qFormat/>
    <w:rsid w:val="00485130"/>
    <w:pPr>
      <w:keepNext/>
      <w:outlineLvl w:val="0"/>
    </w:pPr>
    <w:rPr>
      <w:rFonts w:asciiTheme="majorHAnsi" w:hAnsiTheme="majorHAnsi" w:cs="Arial"/>
      <w:b/>
      <w:bCs/>
      <w:color w:val="009FDF" w:themeColor="accent2"/>
      <w:spacing w:val="-1"/>
      <w:szCs w:val="32"/>
    </w:rPr>
  </w:style>
  <w:style w:type="paragraph" w:styleId="Heading2">
    <w:name w:val="heading 2"/>
    <w:basedOn w:val="Normal"/>
    <w:next w:val="Normal"/>
    <w:uiPriority w:val="1"/>
    <w:qFormat/>
    <w:rsid w:val="00485130"/>
    <w:pPr>
      <w:keepNext/>
      <w:outlineLvl w:val="1"/>
    </w:pPr>
    <w:rPr>
      <w:rFonts w:asciiTheme="majorHAnsi" w:hAnsiTheme="majorHAnsi" w:cs="Arial"/>
      <w:b/>
      <w:bCs/>
      <w:iCs/>
      <w:color w:val="0C3B6C" w:themeColor="accent1"/>
      <w:spacing w:val="-1"/>
      <w:szCs w:val="28"/>
    </w:rPr>
  </w:style>
  <w:style w:type="paragraph" w:styleId="Heading3">
    <w:name w:val="heading 3"/>
    <w:basedOn w:val="Normal"/>
    <w:next w:val="Normal"/>
    <w:uiPriority w:val="1"/>
    <w:qFormat/>
    <w:rsid w:val="000C73B5"/>
    <w:pPr>
      <w:keepNext/>
      <w:outlineLvl w:val="2"/>
    </w:pPr>
    <w:rPr>
      <w:rFonts w:asciiTheme="majorHAnsi" w:hAnsiTheme="majorHAnsi" w:cs="Arial"/>
      <w:bCs/>
      <w:color w:val="009FDF" w:themeColor="accent2"/>
      <w:spacing w:val="-1"/>
      <w:szCs w:val="26"/>
    </w:rPr>
  </w:style>
  <w:style w:type="paragraph" w:styleId="Heading4">
    <w:name w:val="heading 4"/>
    <w:basedOn w:val="Normal"/>
    <w:next w:val="Normal"/>
    <w:link w:val="Heading4Char"/>
    <w:uiPriority w:val="1"/>
    <w:rsid w:val="000C73B5"/>
    <w:pPr>
      <w:keepNext/>
      <w:outlineLvl w:val="3"/>
    </w:pPr>
    <w:rPr>
      <w:rFonts w:asciiTheme="majorHAnsi" w:hAnsiTheme="majorHAnsi"/>
      <w:b/>
      <w:bCs/>
      <w:spacing w:val="-1"/>
      <w:szCs w:val="28"/>
    </w:rPr>
  </w:style>
  <w:style w:type="paragraph" w:styleId="Heading5">
    <w:name w:val="heading 5"/>
    <w:basedOn w:val="Normal"/>
    <w:next w:val="Normal"/>
    <w:link w:val="Heading5Char"/>
    <w:uiPriority w:val="1"/>
    <w:qFormat/>
    <w:rsid w:val="000C73B5"/>
    <w:pPr>
      <w:keepNext/>
      <w:outlineLvl w:val="4"/>
    </w:pPr>
    <w:rPr>
      <w:rFonts w:asciiTheme="majorHAnsi" w:hAnsiTheme="majorHAnsi"/>
      <w:b/>
      <w:bCs/>
      <w:iCs/>
      <w:color w:val="A7A9AC"/>
      <w:spacing w:val="-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59B9"/>
    <w:pPr>
      <w:tabs>
        <w:tab w:val="center" w:pos="4082"/>
        <w:tab w:val="right" w:pos="8222"/>
      </w:tabs>
    </w:pPr>
    <w:rPr>
      <w:sz w:val="16"/>
    </w:rPr>
  </w:style>
  <w:style w:type="table" w:styleId="TableGrid">
    <w:name w:val="Table Grid"/>
    <w:basedOn w:val="TableNormal"/>
    <w:uiPriority w:val="98"/>
    <w:rsid w:val="006559B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559B9"/>
    <w:rPr>
      <w:rFonts w:asciiTheme="minorHAnsi" w:hAnsiTheme="minorHAnsi"/>
      <w:color w:val="000000"/>
      <w:sz w:val="16"/>
      <w:szCs w:val="24"/>
      <w:lang w:val="en-HK"/>
    </w:rPr>
  </w:style>
  <w:style w:type="paragraph" w:styleId="BalloonText">
    <w:name w:val="Balloon Text"/>
    <w:basedOn w:val="Normal"/>
    <w:link w:val="BalloonTextChar"/>
    <w:semiHidden/>
    <w:rsid w:val="006559B9"/>
    <w:rPr>
      <w:rFonts w:ascii="Tahoma" w:hAnsi="Tahoma" w:cs="Tahoma"/>
      <w:sz w:val="16"/>
      <w:szCs w:val="16"/>
    </w:rPr>
  </w:style>
  <w:style w:type="character" w:customStyle="1" w:styleId="BalloonTextChar">
    <w:name w:val="Balloon Text Char"/>
    <w:basedOn w:val="DefaultParagraphFont"/>
    <w:link w:val="BalloonText"/>
    <w:semiHidden/>
    <w:rsid w:val="006559B9"/>
    <w:rPr>
      <w:rFonts w:ascii="Tahoma" w:hAnsi="Tahoma" w:cs="Tahoma"/>
      <w:color w:val="000000"/>
      <w:sz w:val="16"/>
      <w:szCs w:val="16"/>
      <w:lang w:val="en-HK"/>
    </w:rPr>
  </w:style>
  <w:style w:type="paragraph" w:styleId="Footer">
    <w:name w:val="footer"/>
    <w:basedOn w:val="Normal"/>
    <w:link w:val="FooterChar"/>
    <w:uiPriority w:val="99"/>
    <w:rsid w:val="006D6BCF"/>
    <w:pPr>
      <w:tabs>
        <w:tab w:val="center" w:pos="4082"/>
        <w:tab w:val="right" w:pos="8222"/>
      </w:tabs>
    </w:pPr>
    <w:rPr>
      <w:color w:val="0C3B6C" w:themeColor="accent1"/>
      <w:sz w:val="14"/>
    </w:rPr>
  </w:style>
  <w:style w:type="paragraph" w:customStyle="1" w:styleId="NormalNoSpace">
    <w:name w:val="Normal_No Space"/>
    <w:basedOn w:val="Normal"/>
    <w:qFormat/>
    <w:rsid w:val="006559B9"/>
    <w:pPr>
      <w:contextualSpacing/>
    </w:pPr>
  </w:style>
  <w:style w:type="numbering" w:customStyle="1" w:styleId="NumberedHeadings">
    <w:name w:val="Numbered Headings"/>
    <w:uiPriority w:val="99"/>
    <w:rsid w:val="006559B9"/>
    <w:pPr>
      <w:numPr>
        <w:numId w:val="1"/>
      </w:numPr>
    </w:pPr>
  </w:style>
  <w:style w:type="character" w:customStyle="1" w:styleId="Heading4Char">
    <w:name w:val="Heading 4 Char"/>
    <w:basedOn w:val="DefaultParagraphFont"/>
    <w:link w:val="Heading4"/>
    <w:uiPriority w:val="1"/>
    <w:rsid w:val="000C73B5"/>
    <w:rPr>
      <w:rFonts w:asciiTheme="majorHAnsi" w:eastAsiaTheme="minorHAnsi" w:hAnsiTheme="majorHAnsi"/>
      <w:b/>
      <w:bCs/>
      <w:spacing w:val="-1"/>
      <w:szCs w:val="28"/>
      <w:lang w:eastAsia="en-US"/>
    </w:rPr>
  </w:style>
  <w:style w:type="character" w:customStyle="1" w:styleId="Heading5Char">
    <w:name w:val="Heading 5 Char"/>
    <w:basedOn w:val="DefaultParagraphFont"/>
    <w:link w:val="Heading5"/>
    <w:uiPriority w:val="1"/>
    <w:rsid w:val="000C73B5"/>
    <w:rPr>
      <w:rFonts w:asciiTheme="majorHAnsi" w:eastAsiaTheme="minorHAnsi" w:hAnsiTheme="majorHAnsi"/>
      <w:b/>
      <w:bCs/>
      <w:iCs/>
      <w:color w:val="A7A9AC"/>
      <w:spacing w:val="-1"/>
      <w:szCs w:val="26"/>
      <w:lang w:eastAsia="en-US"/>
    </w:rPr>
  </w:style>
  <w:style w:type="character" w:customStyle="1" w:styleId="FooterChar">
    <w:name w:val="Footer Char"/>
    <w:basedOn w:val="DefaultParagraphFont"/>
    <w:link w:val="Footer"/>
    <w:uiPriority w:val="99"/>
    <w:rsid w:val="006D6BCF"/>
    <w:rPr>
      <w:rFonts w:asciiTheme="minorHAnsi" w:hAnsiTheme="minorHAnsi"/>
      <w:color w:val="0C3B6C" w:themeColor="accent1"/>
      <w:sz w:val="14"/>
      <w:szCs w:val="24"/>
      <w:lang w:val="en-HK"/>
    </w:rPr>
  </w:style>
  <w:style w:type="character" w:customStyle="1" w:styleId="TableHeadingDetails">
    <w:name w:val="Table Heading Details"/>
    <w:basedOn w:val="DefaultParagraphFont"/>
    <w:uiPriority w:val="1"/>
    <w:qFormat/>
    <w:rsid w:val="007E7721"/>
    <w:rPr>
      <w:rFonts w:asciiTheme="minorHAnsi" w:hAnsiTheme="minorHAnsi" w:cs="Calibri"/>
      <w:b w:val="0"/>
      <w:caps/>
      <w:smallCaps w:val="0"/>
      <w:color w:val="0C3B6C" w:themeColor="accent1"/>
      <w:sz w:val="20"/>
      <w:lang w:eastAsia="en-US"/>
    </w:rPr>
  </w:style>
  <w:style w:type="paragraph" w:customStyle="1" w:styleId="Details">
    <w:name w:val="Details"/>
    <w:basedOn w:val="Normal"/>
    <w:qFormat/>
    <w:rsid w:val="00813C27"/>
  </w:style>
  <w:style w:type="paragraph" w:customStyle="1" w:styleId="Lable">
    <w:name w:val="Lable"/>
    <w:basedOn w:val="Normal"/>
    <w:semiHidden/>
    <w:qFormat/>
    <w:rsid w:val="006559B9"/>
    <w:rPr>
      <w:b/>
    </w:rPr>
  </w:style>
  <w:style w:type="paragraph" w:customStyle="1" w:styleId="Label">
    <w:name w:val="Label"/>
    <w:basedOn w:val="Normal"/>
    <w:next w:val="Normal"/>
    <w:qFormat/>
    <w:rsid w:val="008D46C5"/>
    <w:rPr>
      <w:b/>
      <w:color w:val="000000" w:themeColor="text2"/>
    </w:rPr>
  </w:style>
  <w:style w:type="paragraph" w:customStyle="1" w:styleId="Notification">
    <w:name w:val="Notification"/>
    <w:basedOn w:val="Normal"/>
    <w:next w:val="Normal"/>
    <w:qFormat/>
    <w:rsid w:val="00C21592"/>
    <w:pPr>
      <w:contextualSpacing/>
    </w:pPr>
    <w:rPr>
      <w:b/>
      <w:color w:val="0C3B6C" w:themeColor="accent1"/>
      <w:sz w:val="60"/>
    </w:rPr>
  </w:style>
  <w:style w:type="paragraph" w:customStyle="1" w:styleId="TableHeadings">
    <w:name w:val="Table Headings"/>
    <w:basedOn w:val="Normal"/>
    <w:next w:val="Normal"/>
    <w:link w:val="TableHeadingsChar"/>
    <w:qFormat/>
    <w:rsid w:val="007E7721"/>
    <w:rPr>
      <w:b/>
      <w:caps/>
      <w:color w:val="0C3B6C" w:themeColor="accent1"/>
    </w:rPr>
  </w:style>
  <w:style w:type="paragraph" w:customStyle="1" w:styleId="Attachment">
    <w:name w:val="Attachment"/>
    <w:basedOn w:val="Normal"/>
    <w:next w:val="Normal"/>
    <w:qFormat/>
    <w:rsid w:val="00C21592"/>
    <w:pPr>
      <w:framePr w:w="7655" w:wrap="around" w:vAnchor="page" w:hAnchor="text" w:y="1929" w:anchorLock="1"/>
      <w:widowControl w:val="0"/>
    </w:pPr>
    <w:rPr>
      <w:color w:val="0C3B6C" w:themeColor="accent1"/>
      <w:sz w:val="36"/>
    </w:rPr>
  </w:style>
  <w:style w:type="character" w:styleId="Hyperlink">
    <w:name w:val="Hyperlink"/>
    <w:basedOn w:val="DefaultParagraphFont"/>
    <w:uiPriority w:val="99"/>
    <w:rsid w:val="001144FF"/>
    <w:rPr>
      <w:color w:val="0C3B6C" w:themeColor="accent1"/>
      <w:u w:val="single"/>
    </w:rPr>
  </w:style>
  <w:style w:type="table" w:customStyle="1" w:styleId="TableASX">
    <w:name w:val="Table_ASX"/>
    <w:basedOn w:val="TableNormal"/>
    <w:uiPriority w:val="99"/>
    <w:rsid w:val="00E21B42"/>
    <w:rPr>
      <w:rFonts w:ascii="Arial Narrow" w:eastAsiaTheme="minorHAnsi" w:hAnsi="Arial Narrow"/>
      <w:lang w:eastAsia="en-US"/>
    </w:rPr>
    <w:tblPr>
      <w:tblBorders>
        <w:top w:val="single" w:sz="8" w:space="0" w:color="0C3B6C" w:themeColor="accent1"/>
        <w:bottom w:val="single" w:sz="8" w:space="0" w:color="0C3B6C" w:themeColor="accent1"/>
        <w:insideH w:val="single" w:sz="4" w:space="0" w:color="0C3B6C" w:themeColor="accent1"/>
      </w:tblBorders>
    </w:tblPr>
    <w:tblStylePr w:type="firstRow">
      <w:rPr>
        <w:b w:val="0"/>
        <w:color w:val="009FDF" w:themeColor="accent2"/>
      </w:rPr>
      <w:tblPr/>
      <w:tcPr>
        <w:tcBorders>
          <w:top w:val="single" w:sz="8" w:space="0" w:color="0C3B6C" w:themeColor="accent1"/>
          <w:left w:val="nil"/>
          <w:bottom w:val="single" w:sz="8" w:space="0" w:color="0C3B6C" w:themeColor="accent1"/>
          <w:right w:val="nil"/>
          <w:insideH w:val="nil"/>
          <w:insideV w:val="nil"/>
          <w:tl2br w:val="nil"/>
          <w:tr2bl w:val="nil"/>
        </w:tcBorders>
      </w:tcPr>
    </w:tblStylePr>
  </w:style>
  <w:style w:type="paragraph" w:customStyle="1" w:styleId="TableText">
    <w:name w:val="Table Text"/>
    <w:basedOn w:val="Normal"/>
    <w:qFormat/>
    <w:rsid w:val="006559B9"/>
    <w:pPr>
      <w:spacing w:before="80" w:after="80"/>
    </w:pPr>
    <w:rPr>
      <w:spacing w:val="-1"/>
      <w:szCs w:val="20"/>
    </w:rPr>
  </w:style>
  <w:style w:type="paragraph" w:customStyle="1" w:styleId="TableHeading">
    <w:name w:val="Table Heading"/>
    <w:basedOn w:val="TableText"/>
    <w:next w:val="TableText"/>
    <w:qFormat/>
    <w:rsid w:val="00E21B42"/>
    <w:rPr>
      <w:color w:val="009FDF" w:themeColor="accent2"/>
    </w:rPr>
  </w:style>
  <w:style w:type="numbering" w:customStyle="1" w:styleId="Bullets">
    <w:name w:val="Bullets"/>
    <w:uiPriority w:val="99"/>
    <w:rsid w:val="006559B9"/>
    <w:pPr>
      <w:numPr>
        <w:numId w:val="3"/>
      </w:numPr>
    </w:pPr>
  </w:style>
  <w:style w:type="paragraph" w:styleId="ListBullet">
    <w:name w:val="List Bullet"/>
    <w:basedOn w:val="Normal"/>
    <w:uiPriority w:val="2"/>
    <w:qFormat/>
    <w:rsid w:val="008A667E"/>
    <w:pPr>
      <w:numPr>
        <w:numId w:val="38"/>
      </w:numPr>
      <w:contextualSpacing/>
    </w:pPr>
    <w:rPr>
      <w:spacing w:val="-1"/>
      <w:szCs w:val="20"/>
    </w:rPr>
  </w:style>
  <w:style w:type="paragraph" w:customStyle="1" w:styleId="Notes">
    <w:name w:val="Notes"/>
    <w:basedOn w:val="Normal"/>
    <w:qFormat/>
    <w:rsid w:val="007A6133"/>
    <w:pPr>
      <w:spacing w:before="80" w:after="80"/>
    </w:pPr>
    <w:rPr>
      <w:sz w:val="14"/>
    </w:rPr>
  </w:style>
  <w:style w:type="paragraph" w:customStyle="1" w:styleId="NumberedHeading1">
    <w:name w:val="Numbered Heading 1"/>
    <w:basedOn w:val="Heading1"/>
    <w:qFormat/>
    <w:rsid w:val="00151854"/>
    <w:pPr>
      <w:numPr>
        <w:numId w:val="19"/>
      </w:numPr>
    </w:pPr>
  </w:style>
  <w:style w:type="paragraph" w:customStyle="1" w:styleId="NumberedHeading2">
    <w:name w:val="Numbered Heading 2"/>
    <w:basedOn w:val="Heading2"/>
    <w:qFormat/>
    <w:rsid w:val="00151854"/>
    <w:pPr>
      <w:numPr>
        <w:ilvl w:val="1"/>
        <w:numId w:val="19"/>
      </w:numPr>
    </w:pPr>
    <w:rPr>
      <w:bCs w:val="0"/>
    </w:rPr>
  </w:style>
  <w:style w:type="character" w:customStyle="1" w:styleId="TableHeadingsChar">
    <w:name w:val="Table Headings Char"/>
    <w:basedOn w:val="DefaultParagraphFont"/>
    <w:link w:val="TableHeadings"/>
    <w:rsid w:val="007E7721"/>
    <w:rPr>
      <w:rFonts w:asciiTheme="minorHAnsi" w:hAnsiTheme="minorHAnsi"/>
      <w:b/>
      <w:caps/>
      <w:color w:val="0C3B6C" w:themeColor="accent1"/>
      <w:szCs w:val="24"/>
      <w:lang w:val="en-HK"/>
    </w:rPr>
  </w:style>
  <w:style w:type="paragraph" w:customStyle="1" w:styleId="SignOff">
    <w:name w:val="SignOff"/>
    <w:basedOn w:val="Normal"/>
    <w:qFormat/>
    <w:rsid w:val="00B9028D"/>
    <w:pPr>
      <w:spacing w:before="40" w:after="40" w:line="260" w:lineRule="atLeast"/>
    </w:pPr>
    <w:rPr>
      <w:b/>
      <w:color w:val="009FDF" w:themeColor="accent2"/>
    </w:rPr>
  </w:style>
  <w:style w:type="paragraph" w:customStyle="1" w:styleId="StyleNumberedHeading3IndentLeft255cm">
    <w:name w:val="Style Numbered Heading 3 Indent + Left:  2.55 cm"/>
    <w:basedOn w:val="Normal"/>
    <w:rsid w:val="000610EA"/>
    <w:pPr>
      <w:ind w:left="1457"/>
    </w:pPr>
    <w:rPr>
      <w:szCs w:val="20"/>
    </w:rPr>
  </w:style>
  <w:style w:type="numbering" w:customStyle="1" w:styleId="ASXNumPara">
    <w:name w:val="ASX_NumPara"/>
    <w:uiPriority w:val="99"/>
    <w:rsid w:val="006559B9"/>
    <w:pPr>
      <w:numPr>
        <w:numId w:val="2"/>
      </w:numPr>
    </w:pPr>
  </w:style>
  <w:style w:type="paragraph" w:styleId="CommentText">
    <w:name w:val="annotation text"/>
    <w:basedOn w:val="Normal"/>
    <w:link w:val="CommentTextChar"/>
    <w:semiHidden/>
    <w:unhideWhenUsed/>
    <w:rsid w:val="006559B9"/>
    <w:rPr>
      <w:szCs w:val="20"/>
    </w:rPr>
  </w:style>
  <w:style w:type="character" w:customStyle="1" w:styleId="CommentTextChar">
    <w:name w:val="Comment Text Char"/>
    <w:basedOn w:val="DefaultParagraphFont"/>
    <w:link w:val="CommentText"/>
    <w:semiHidden/>
    <w:rsid w:val="006559B9"/>
    <w:rPr>
      <w:rFonts w:asciiTheme="minorHAnsi" w:hAnsiTheme="minorHAnsi"/>
      <w:color w:val="000000"/>
      <w:lang w:val="en-HK"/>
    </w:rPr>
  </w:style>
  <w:style w:type="paragraph" w:customStyle="1" w:styleId="StyleListNumber3Right3cm">
    <w:name w:val="Style List Number 3 + Right:  3 cm"/>
    <w:basedOn w:val="Normal"/>
    <w:rsid w:val="000610EA"/>
    <w:rPr>
      <w:szCs w:val="20"/>
    </w:rPr>
  </w:style>
  <w:style w:type="paragraph" w:customStyle="1" w:styleId="Intro">
    <w:name w:val="Intro"/>
    <w:basedOn w:val="Normal"/>
    <w:next w:val="Normal"/>
    <w:qFormat/>
    <w:rsid w:val="00BE57F3"/>
    <w:pPr>
      <w:spacing w:before="180" w:after="100" w:line="280" w:lineRule="atLeast"/>
    </w:pPr>
    <w:rPr>
      <w:b/>
      <w:color w:val="009FDF" w:themeColor="accent2"/>
    </w:rPr>
  </w:style>
  <w:style w:type="table" w:customStyle="1" w:styleId="TableGridLight1">
    <w:name w:val="Table Grid Light1"/>
    <w:basedOn w:val="TableNormal"/>
    <w:uiPriority w:val="40"/>
    <w:rsid w:val="00F749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cType">
    <w:name w:val="DocType"/>
    <w:basedOn w:val="Normal"/>
    <w:next w:val="Normal"/>
    <w:qFormat/>
    <w:rsid w:val="00CE39CB"/>
    <w:pPr>
      <w:spacing w:after="57" w:line="660" w:lineRule="atLeast"/>
    </w:pPr>
    <w:rPr>
      <w:color w:val="0C3B6C" w:themeColor="accent1"/>
      <w:sz w:val="60"/>
    </w:rPr>
  </w:style>
  <w:style w:type="table" w:styleId="TableTheme">
    <w:name w:val="Table Theme"/>
    <w:basedOn w:val="TableNormal"/>
    <w:rsid w:val="00CE39CB"/>
    <w:pPr>
      <w:adjustRightInd w:val="0"/>
      <w:snapToGrid w:val="0"/>
      <w:spacing w:after="113"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ionNo">
    <w:name w:val="Version No"/>
    <w:basedOn w:val="CommentTextChar"/>
    <w:uiPriority w:val="1"/>
    <w:qFormat/>
    <w:rsid w:val="00CE39CB"/>
    <w:rPr>
      <w:rFonts w:asciiTheme="minorHAnsi" w:hAnsiTheme="minorHAnsi"/>
      <w:color w:val="0C3B6C" w:themeColor="accent1"/>
      <w:sz w:val="22"/>
      <w:lang w:val="en-AU"/>
    </w:rPr>
  </w:style>
  <w:style w:type="character" w:styleId="PageNumber">
    <w:name w:val="page number"/>
    <w:basedOn w:val="DefaultParagraphFont"/>
    <w:uiPriority w:val="97"/>
    <w:semiHidden/>
    <w:unhideWhenUsed/>
    <w:rsid w:val="006D6BCF"/>
    <w:rPr>
      <w:rFonts w:asciiTheme="minorHAnsi" w:hAnsiTheme="minorHAnsi" w:cs="Calibri" w:hint="default"/>
      <w:b/>
      <w:bCs w:val="0"/>
    </w:rPr>
  </w:style>
  <w:style w:type="character" w:styleId="PlaceholderText">
    <w:name w:val="Placeholder Text"/>
    <w:basedOn w:val="DefaultParagraphFont"/>
    <w:uiPriority w:val="97"/>
    <w:semiHidden/>
    <w:rsid w:val="006D6BCF"/>
    <w:rPr>
      <w:rFonts w:asciiTheme="minorHAnsi" w:hAnsiTheme="minorHAnsi" w:cs="Calibri" w:hint="default"/>
      <w:color w:val="FF0000"/>
    </w:rPr>
  </w:style>
  <w:style w:type="character" w:customStyle="1" w:styleId="UnresolvedMention1">
    <w:name w:val="Unresolved Mention1"/>
    <w:basedOn w:val="DefaultParagraphFont"/>
    <w:uiPriority w:val="99"/>
    <w:semiHidden/>
    <w:unhideWhenUsed/>
    <w:rsid w:val="0098639C"/>
    <w:rPr>
      <w:color w:val="808080"/>
      <w:shd w:val="clear" w:color="auto" w:fill="E6E6E6"/>
    </w:rPr>
  </w:style>
  <w:style w:type="table" w:customStyle="1" w:styleId="LayoutGrid">
    <w:name w:val="Layout Grid"/>
    <w:basedOn w:val="TableNormal"/>
    <w:uiPriority w:val="99"/>
    <w:rsid w:val="0098639C"/>
    <w:rPr>
      <w:rFonts w:asciiTheme="minorHAnsi" w:eastAsiaTheme="minorHAnsi" w:hAnsiTheme="minorHAnsi" w:cs="Calibri"/>
      <w:lang w:eastAsia="en-US"/>
    </w:rPr>
    <w:tblPr>
      <w:tblInd w:w="0" w:type="nil"/>
      <w:tblCellMar>
        <w:left w:w="0" w:type="dxa"/>
        <w:right w:w="0" w:type="dxa"/>
      </w:tblCellMar>
    </w:tblPr>
  </w:style>
  <w:style w:type="character" w:customStyle="1" w:styleId="Dated">
    <w:name w:val="Dated"/>
    <w:basedOn w:val="DefaultParagraphFont"/>
    <w:uiPriority w:val="1"/>
    <w:qFormat/>
    <w:rsid w:val="00260813"/>
    <w:rPr>
      <w:rFonts w:asciiTheme="minorHAnsi" w:hAnsiTheme="minorHAnsi"/>
      <w:noProof/>
      <w:color w:val="0C3B6C" w:themeColor="accent1"/>
      <w:sz w:val="22"/>
    </w:rPr>
  </w:style>
  <w:style w:type="paragraph" w:customStyle="1" w:styleId="PulloutQuote">
    <w:name w:val="Pullout Quote"/>
    <w:basedOn w:val="Normal"/>
    <w:next w:val="Normal"/>
    <w:qFormat/>
    <w:rsid w:val="00E070E9"/>
    <w:pPr>
      <w:spacing w:before="120" w:after="120"/>
      <w:jc w:val="center"/>
    </w:pPr>
    <w:rPr>
      <w:i/>
      <w:color w:val="009FDF" w:themeColor="accent2"/>
      <w:sz w:val="32"/>
    </w:rPr>
  </w:style>
  <w:style w:type="paragraph" w:styleId="ListBullet2">
    <w:name w:val="List Bullet 2"/>
    <w:basedOn w:val="Normal"/>
    <w:uiPriority w:val="2"/>
    <w:qFormat/>
    <w:rsid w:val="008A667E"/>
    <w:pPr>
      <w:numPr>
        <w:ilvl w:val="1"/>
        <w:numId w:val="38"/>
      </w:numPr>
      <w:contextualSpacing/>
    </w:pPr>
    <w:rPr>
      <w:spacing w:val="-1"/>
      <w:szCs w:val="20"/>
    </w:rPr>
  </w:style>
  <w:style w:type="paragraph" w:styleId="ListBullet3">
    <w:name w:val="List Bullet 3"/>
    <w:basedOn w:val="Normal"/>
    <w:uiPriority w:val="2"/>
    <w:qFormat/>
    <w:rsid w:val="008A667E"/>
    <w:pPr>
      <w:numPr>
        <w:ilvl w:val="2"/>
        <w:numId w:val="38"/>
      </w:numPr>
      <w:contextualSpacing/>
    </w:pPr>
    <w:rPr>
      <w:spacing w:val="-1"/>
      <w:szCs w:val="20"/>
    </w:rPr>
  </w:style>
  <w:style w:type="paragraph" w:customStyle="1" w:styleId="NumberedHeading3">
    <w:name w:val="Numbered Heading 3"/>
    <w:basedOn w:val="Heading3"/>
    <w:next w:val="Normal"/>
    <w:qFormat/>
    <w:rsid w:val="00151854"/>
    <w:pPr>
      <w:numPr>
        <w:ilvl w:val="2"/>
        <w:numId w:val="19"/>
      </w:numPr>
    </w:pPr>
    <w:rPr>
      <w:b/>
    </w:rPr>
  </w:style>
  <w:style w:type="paragraph" w:customStyle="1" w:styleId="NumberedHeading4">
    <w:name w:val="Numbered Heading 4"/>
    <w:basedOn w:val="Heading4"/>
    <w:next w:val="Normal"/>
    <w:qFormat/>
    <w:rsid w:val="00E30B62"/>
    <w:pPr>
      <w:numPr>
        <w:ilvl w:val="3"/>
        <w:numId w:val="19"/>
      </w:numPr>
    </w:pPr>
    <w:rPr>
      <w:b w:val="0"/>
      <w:iCs/>
    </w:rPr>
  </w:style>
  <w:style w:type="paragraph" w:customStyle="1" w:styleId="NumberedHeading5">
    <w:name w:val="Numbered Heading 5"/>
    <w:basedOn w:val="Heading5"/>
    <w:next w:val="Normal"/>
    <w:qFormat/>
    <w:rsid w:val="00E30B62"/>
    <w:pPr>
      <w:keepNext w:val="0"/>
      <w:numPr>
        <w:ilvl w:val="4"/>
        <w:numId w:val="19"/>
      </w:numPr>
    </w:pPr>
    <w:rPr>
      <w:b w:val="0"/>
      <w:bCs w:val="0"/>
      <w:i/>
      <w:iCs w:val="0"/>
    </w:rPr>
  </w:style>
  <w:style w:type="paragraph" w:styleId="ListNumber">
    <w:name w:val="List Number"/>
    <w:basedOn w:val="Normal"/>
    <w:uiPriority w:val="3"/>
    <w:qFormat/>
    <w:rsid w:val="000C73B5"/>
    <w:pPr>
      <w:numPr>
        <w:numId w:val="27"/>
      </w:numPr>
      <w:contextualSpacing/>
    </w:pPr>
    <w:rPr>
      <w:spacing w:val="-1"/>
      <w:szCs w:val="20"/>
    </w:rPr>
  </w:style>
  <w:style w:type="paragraph" w:styleId="ListNumber2">
    <w:name w:val="List Number 2"/>
    <w:basedOn w:val="Normal"/>
    <w:uiPriority w:val="3"/>
    <w:qFormat/>
    <w:rsid w:val="000C73B5"/>
    <w:pPr>
      <w:numPr>
        <w:ilvl w:val="1"/>
        <w:numId w:val="27"/>
      </w:numPr>
      <w:contextualSpacing/>
    </w:pPr>
    <w:rPr>
      <w:spacing w:val="-1"/>
      <w:szCs w:val="20"/>
    </w:rPr>
  </w:style>
  <w:style w:type="paragraph" w:styleId="ListNumber3">
    <w:name w:val="List Number 3"/>
    <w:basedOn w:val="Normal"/>
    <w:uiPriority w:val="3"/>
    <w:qFormat/>
    <w:rsid w:val="000C73B5"/>
    <w:pPr>
      <w:numPr>
        <w:ilvl w:val="2"/>
        <w:numId w:val="27"/>
      </w:numPr>
      <w:contextualSpacing/>
    </w:pPr>
    <w:rPr>
      <w:spacing w:val="-1"/>
      <w:szCs w:val="20"/>
    </w:rPr>
  </w:style>
  <w:style w:type="numbering" w:customStyle="1" w:styleId="BulletList">
    <w:name w:val="BulletList"/>
    <w:uiPriority w:val="99"/>
    <w:rsid w:val="008A667E"/>
    <w:pPr>
      <w:numPr>
        <w:numId w:val="20"/>
      </w:numPr>
    </w:pPr>
  </w:style>
  <w:style w:type="paragraph" w:styleId="ListParagraph">
    <w:name w:val="List Paragraph"/>
    <w:basedOn w:val="Normal"/>
    <w:uiPriority w:val="34"/>
    <w:qFormat/>
    <w:rsid w:val="008756CC"/>
    <w:pPr>
      <w:ind w:left="720"/>
    </w:pPr>
  </w:style>
  <w:style w:type="character" w:styleId="CommentReference">
    <w:name w:val="annotation reference"/>
    <w:basedOn w:val="DefaultParagraphFont"/>
    <w:semiHidden/>
    <w:unhideWhenUsed/>
    <w:rsid w:val="00757828"/>
    <w:rPr>
      <w:sz w:val="16"/>
      <w:szCs w:val="16"/>
    </w:rPr>
  </w:style>
  <w:style w:type="paragraph" w:styleId="CommentSubject">
    <w:name w:val="annotation subject"/>
    <w:basedOn w:val="CommentText"/>
    <w:next w:val="CommentText"/>
    <w:link w:val="CommentSubjectChar"/>
    <w:semiHidden/>
    <w:unhideWhenUsed/>
    <w:rsid w:val="00757828"/>
    <w:rPr>
      <w:b/>
      <w:bCs/>
      <w:sz w:val="20"/>
    </w:rPr>
  </w:style>
  <w:style w:type="character" w:customStyle="1" w:styleId="CommentSubjectChar">
    <w:name w:val="Comment Subject Char"/>
    <w:basedOn w:val="CommentTextChar"/>
    <w:link w:val="CommentSubject"/>
    <w:semiHidden/>
    <w:rsid w:val="00757828"/>
    <w:rPr>
      <w:rFonts w:ascii="Calibri" w:eastAsiaTheme="minorHAnsi" w:hAnsi="Calibri" w:cs="Calibri"/>
      <w:b/>
      <w:bCs/>
      <w:color w:val="000000"/>
      <w:lang w:val="en-HK" w:eastAsia="en-US"/>
    </w:rPr>
  </w:style>
  <w:style w:type="character" w:styleId="FollowedHyperlink">
    <w:name w:val="FollowedHyperlink"/>
    <w:basedOn w:val="DefaultParagraphFont"/>
    <w:semiHidden/>
    <w:unhideWhenUsed/>
    <w:rsid w:val="008504F1"/>
    <w:rPr>
      <w:color w:val="EF4338" w:themeColor="followedHyperlink"/>
      <w:u w:val="single"/>
    </w:rPr>
  </w:style>
  <w:style w:type="paragraph" w:styleId="FootnoteText">
    <w:name w:val="footnote text"/>
    <w:basedOn w:val="Normal"/>
    <w:link w:val="FootnoteTextChar"/>
    <w:semiHidden/>
    <w:unhideWhenUsed/>
    <w:rsid w:val="006F267D"/>
    <w:rPr>
      <w:sz w:val="20"/>
      <w:szCs w:val="20"/>
    </w:rPr>
  </w:style>
  <w:style w:type="character" w:customStyle="1" w:styleId="FootnoteTextChar">
    <w:name w:val="Footnote Text Char"/>
    <w:basedOn w:val="DefaultParagraphFont"/>
    <w:link w:val="FootnoteText"/>
    <w:semiHidden/>
    <w:rsid w:val="006F267D"/>
    <w:rPr>
      <w:rFonts w:ascii="Calibri" w:eastAsiaTheme="minorHAnsi" w:hAnsi="Calibri" w:cs="Calibri"/>
      <w:lang w:eastAsia="en-US"/>
    </w:rPr>
  </w:style>
  <w:style w:type="character" w:styleId="FootnoteReference">
    <w:name w:val="footnote reference"/>
    <w:basedOn w:val="DefaultParagraphFont"/>
    <w:semiHidden/>
    <w:unhideWhenUsed/>
    <w:rsid w:val="006F267D"/>
    <w:rPr>
      <w:vertAlign w:val="superscript"/>
    </w:rPr>
  </w:style>
  <w:style w:type="paragraph" w:styleId="List2">
    <w:name w:val="List 2"/>
    <w:basedOn w:val="Normal"/>
    <w:semiHidden/>
    <w:unhideWhenUsed/>
    <w:rsid w:val="006F267D"/>
    <w:pPr>
      <w:ind w:left="566" w:hanging="283"/>
      <w:contextualSpacing/>
    </w:pPr>
  </w:style>
  <w:style w:type="paragraph" w:styleId="List3">
    <w:name w:val="List 3"/>
    <w:basedOn w:val="Normal"/>
    <w:semiHidden/>
    <w:unhideWhenUsed/>
    <w:rsid w:val="006F267D"/>
    <w:pPr>
      <w:ind w:left="849" w:hanging="283"/>
      <w:contextualSpacing/>
    </w:pPr>
  </w:style>
  <w:style w:type="paragraph" w:styleId="List4">
    <w:name w:val="List 4"/>
    <w:basedOn w:val="Normal"/>
    <w:semiHidden/>
    <w:rsid w:val="006F267D"/>
    <w:pPr>
      <w:ind w:left="1132" w:hanging="283"/>
      <w:contextualSpacing/>
    </w:pPr>
  </w:style>
  <w:style w:type="paragraph" w:styleId="ListBullet5">
    <w:name w:val="List Bullet 5"/>
    <w:basedOn w:val="Normal"/>
    <w:semiHidden/>
    <w:unhideWhenUsed/>
    <w:rsid w:val="006F267D"/>
    <w:pPr>
      <w:numPr>
        <w:numId w:val="41"/>
      </w:numPr>
      <w:contextualSpacing/>
    </w:pPr>
  </w:style>
  <w:style w:type="paragraph" w:styleId="List5">
    <w:name w:val="List 5"/>
    <w:basedOn w:val="Normal"/>
    <w:semiHidden/>
    <w:rsid w:val="006F267D"/>
    <w:pPr>
      <w:ind w:left="1415" w:hanging="283"/>
      <w:contextualSpacing/>
    </w:pPr>
  </w:style>
  <w:style w:type="paragraph" w:customStyle="1" w:styleId="docfooter">
    <w:name w:val="doc footer"/>
    <w:basedOn w:val="Normal"/>
    <w:rsid w:val="006F267D"/>
    <w:pPr>
      <w:widowControl w:val="0"/>
      <w:pBdr>
        <w:top w:val="single" w:sz="4" w:space="1" w:color="auto"/>
      </w:pBdr>
      <w:tabs>
        <w:tab w:val="center" w:pos="4820"/>
        <w:tab w:val="right" w:pos="9639"/>
      </w:tabs>
      <w:overflowPunct w:val="0"/>
      <w:autoSpaceDE w:val="0"/>
      <w:autoSpaceDN w:val="0"/>
      <w:adjustRightInd w:val="0"/>
      <w:textAlignment w:val="baseline"/>
    </w:pPr>
    <w:rPr>
      <w:rFonts w:ascii="ClassGarmnd BT" w:eastAsia="Times New Roman" w:hAnsi="ClassGarmnd BT" w:cs="Times New Roman"/>
      <w:iCs/>
      <w:sz w:val="18"/>
      <w:szCs w:val="20"/>
      <w:lang w:val="en-US"/>
    </w:rPr>
  </w:style>
  <w:style w:type="paragraph" w:styleId="List">
    <w:name w:val="List"/>
    <w:basedOn w:val="Normal"/>
    <w:unhideWhenUsed/>
    <w:rsid w:val="00D87714"/>
    <w:pPr>
      <w:ind w:left="283" w:hanging="283"/>
      <w:contextualSpacing/>
    </w:pPr>
  </w:style>
  <w:style w:type="paragraph" w:customStyle="1" w:styleId="Clause">
    <w:name w:val="Clause"/>
    <w:basedOn w:val="Normal"/>
    <w:rsid w:val="001D4D61"/>
    <w:pPr>
      <w:tabs>
        <w:tab w:val="left" w:pos="851"/>
      </w:tabs>
      <w:spacing w:before="240" w:after="120"/>
      <w:ind w:left="851" w:hanging="851"/>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486701">
      <w:bodyDiv w:val="1"/>
      <w:marLeft w:val="0"/>
      <w:marRight w:val="0"/>
      <w:marTop w:val="0"/>
      <w:marBottom w:val="0"/>
      <w:divBdr>
        <w:top w:val="none" w:sz="0" w:space="0" w:color="auto"/>
        <w:left w:val="none" w:sz="0" w:space="0" w:color="auto"/>
        <w:bottom w:val="none" w:sz="0" w:space="0" w:color="auto"/>
        <w:right w:val="none" w:sz="0" w:space="0" w:color="auto"/>
      </w:divBdr>
    </w:div>
    <w:div w:id="391739622">
      <w:bodyDiv w:val="1"/>
      <w:marLeft w:val="0"/>
      <w:marRight w:val="0"/>
      <w:marTop w:val="0"/>
      <w:marBottom w:val="0"/>
      <w:divBdr>
        <w:top w:val="none" w:sz="0" w:space="0" w:color="auto"/>
        <w:left w:val="none" w:sz="0" w:space="0" w:color="auto"/>
        <w:bottom w:val="none" w:sz="0" w:space="0" w:color="auto"/>
        <w:right w:val="none" w:sz="0" w:space="0" w:color="auto"/>
      </w:divBdr>
    </w:div>
    <w:div w:id="440804694">
      <w:bodyDiv w:val="1"/>
      <w:marLeft w:val="0"/>
      <w:marRight w:val="0"/>
      <w:marTop w:val="0"/>
      <w:marBottom w:val="0"/>
      <w:divBdr>
        <w:top w:val="none" w:sz="0" w:space="0" w:color="auto"/>
        <w:left w:val="none" w:sz="0" w:space="0" w:color="auto"/>
        <w:bottom w:val="none" w:sz="0" w:space="0" w:color="auto"/>
        <w:right w:val="none" w:sz="0" w:space="0" w:color="auto"/>
      </w:divBdr>
    </w:div>
    <w:div w:id="486750269">
      <w:bodyDiv w:val="1"/>
      <w:marLeft w:val="0"/>
      <w:marRight w:val="0"/>
      <w:marTop w:val="0"/>
      <w:marBottom w:val="0"/>
      <w:divBdr>
        <w:top w:val="none" w:sz="0" w:space="0" w:color="auto"/>
        <w:left w:val="none" w:sz="0" w:space="0" w:color="auto"/>
        <w:bottom w:val="none" w:sz="0" w:space="0" w:color="auto"/>
        <w:right w:val="none" w:sz="0" w:space="0" w:color="auto"/>
      </w:divBdr>
    </w:div>
    <w:div w:id="795568274">
      <w:bodyDiv w:val="1"/>
      <w:marLeft w:val="0"/>
      <w:marRight w:val="0"/>
      <w:marTop w:val="0"/>
      <w:marBottom w:val="0"/>
      <w:divBdr>
        <w:top w:val="none" w:sz="0" w:space="0" w:color="auto"/>
        <w:left w:val="none" w:sz="0" w:space="0" w:color="auto"/>
        <w:bottom w:val="none" w:sz="0" w:space="0" w:color="auto"/>
        <w:right w:val="none" w:sz="0" w:space="0" w:color="auto"/>
      </w:divBdr>
    </w:div>
    <w:div w:id="1421945846">
      <w:bodyDiv w:val="1"/>
      <w:marLeft w:val="0"/>
      <w:marRight w:val="0"/>
      <w:marTop w:val="0"/>
      <w:marBottom w:val="0"/>
      <w:divBdr>
        <w:top w:val="none" w:sz="0" w:space="0" w:color="auto"/>
        <w:left w:val="none" w:sz="0" w:space="0" w:color="auto"/>
        <w:bottom w:val="none" w:sz="0" w:space="0" w:color="auto"/>
        <w:right w:val="none" w:sz="0" w:space="0" w:color="auto"/>
      </w:divBdr>
    </w:div>
    <w:div w:id="1597402673">
      <w:bodyDiv w:val="1"/>
      <w:marLeft w:val="0"/>
      <w:marRight w:val="0"/>
      <w:marTop w:val="0"/>
      <w:marBottom w:val="0"/>
      <w:divBdr>
        <w:top w:val="none" w:sz="0" w:space="0" w:color="auto"/>
        <w:left w:val="none" w:sz="0" w:space="0" w:color="auto"/>
        <w:bottom w:val="none" w:sz="0" w:space="0" w:color="auto"/>
        <w:right w:val="none" w:sz="0" w:space="0" w:color="auto"/>
      </w:divBdr>
    </w:div>
    <w:div w:id="203719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x.com.au/issuers/investment-products/how-to-issue/etfs-and-other-etps" TargetMode="External"/><Relationship Id="rId13" Type="http://schemas.openxmlformats.org/officeDocument/2006/relationships/hyperlink" Target="https://www.asx.com.au/content/dam/asx/rules-guidance-notes-waivers/asx-operating-rules/rules/asx_or_schedules.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sx.com.au/content/dam/asx/issuers/asx-investment-products-reports/etp-update/etp-update-december-2020.pdf" TargetMode="External"/><Relationship Id="rId17" Type="http://schemas.openxmlformats.org/officeDocument/2006/relationships/hyperlink" Target="https://asic.gov.au/regulatory-resources/markets/market-supervision/exchange-traded-products-admission-guidelines/" TargetMode="External"/><Relationship Id="rId2" Type="http://schemas.openxmlformats.org/officeDocument/2006/relationships/numbering" Target="numbering.xml"/><Relationship Id="rId16" Type="http://schemas.openxmlformats.org/officeDocument/2006/relationships/hyperlink" Target="https://asic.gov.au/regulatory-resources/markets/market-supervision/exchange-traded-products-admission-guidelin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ic.gov.au/regulatory-resources/markets/market-supervision/exchange-traded-products-admission-guidelines/" TargetMode="External"/><Relationship Id="rId5" Type="http://schemas.openxmlformats.org/officeDocument/2006/relationships/webSettings" Target="webSettings.xml"/><Relationship Id="rId15" Type="http://schemas.openxmlformats.org/officeDocument/2006/relationships/hyperlink" Target="https://www.asx.com.au/about/regulation/rules-guidance-notes-and-waivers/asx-operating-rules-guidance-notes-and-waivers" TargetMode="External"/><Relationship Id="rId10" Type="http://schemas.openxmlformats.org/officeDocument/2006/relationships/hyperlink" Target="mailto:mFund@asx.com.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sx.com.au/issuers/investment-products/how-to-issue/etfs-and-other-etps" TargetMode="External"/><Relationship Id="rId14" Type="http://schemas.openxmlformats.org/officeDocument/2006/relationships/hyperlink" Target="https://www.asx.com.au/content/dam/asx/rules-guidance-notes-waivers/asx-operating-rules/rules/asx_or_schedules.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sx.com.au/issuers/investment-products/how-to-issue/etfs-and-other-et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ASX_Templates\ASX%20Master%20templates\PlainPage_ASX.dotm" TargetMode="External"/></Relationships>
</file>

<file path=word/theme/theme1.xml><?xml version="1.0" encoding="utf-8"?>
<a:theme xmlns:a="http://schemas.openxmlformats.org/drawingml/2006/main" name="Goodman">
  <a:themeElements>
    <a:clrScheme name="ASX">
      <a:dk1>
        <a:sysClr val="windowText" lastClr="000000"/>
      </a:dk1>
      <a:lt1>
        <a:sysClr val="window" lastClr="FFFFFF"/>
      </a:lt1>
      <a:dk2>
        <a:srgbClr val="000000"/>
      </a:dk2>
      <a:lt2>
        <a:srgbClr val="FFFFFF"/>
      </a:lt2>
      <a:accent1>
        <a:srgbClr val="0C3B6C"/>
      </a:accent1>
      <a:accent2>
        <a:srgbClr val="009FDF"/>
      </a:accent2>
      <a:accent3>
        <a:srgbClr val="215EAC"/>
      </a:accent3>
      <a:accent4>
        <a:srgbClr val="8AA3BA"/>
      </a:accent4>
      <a:accent5>
        <a:srgbClr val="00A68F"/>
      </a:accent5>
      <a:accent6>
        <a:srgbClr val="38B24A"/>
      </a:accent6>
      <a:hlink>
        <a:srgbClr val="0C3B6C"/>
      </a:hlink>
      <a:folHlink>
        <a:srgbClr val="EF4338"/>
      </a:folHlink>
    </a:clrScheme>
    <a:fontScheme name="ASX_Standard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F0CBD71-7449-4C0E-ADFA-E2BA3D603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PlainPage_ASX</Template>
  <TotalTime>1</TotalTime>
  <Pages>6</Pages>
  <Words>1474</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ASX</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Rory Cunningham</dc:creator>
  <cp:lastModifiedBy>Ashley Parker</cp:lastModifiedBy>
  <cp:revision>2</cp:revision>
  <cp:lastPrinted>2017-08-21T07:07:00Z</cp:lastPrinted>
  <dcterms:created xsi:type="dcterms:W3CDTF">2024-07-26T01:08:00Z</dcterms:created>
  <dcterms:modified xsi:type="dcterms:W3CDTF">2024-07-26T01:08:00Z</dcterms:modified>
  <cp:category>Plain Page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derEmail">
    <vt:lpwstr> </vt:lpwstr>
  </property>
  <property fmtid="{D5CDD505-2E9C-101B-9397-08002B2CF9AE}" pid="3" name="SenderPhone">
    <vt:lpwstr> </vt:lpwstr>
  </property>
  <property fmtid="{D5CDD505-2E9C-101B-9397-08002B2CF9AE}" pid="4" name="Security">
    <vt:lpwstr>Public</vt:lpwstr>
  </property>
</Properties>
</file>